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333DD23" w:rsidR="0049405C" w:rsidRPr="00187BAA" w:rsidRDefault="007E7C93" w:rsidP="007E7C93">
            <w:pPr>
              <w:spacing w:line="720" w:lineRule="auto"/>
              <w:rPr>
                <w:rFonts w:ascii="宋体" w:eastAsia="宋体" w:hAnsi="宋体"/>
                <w:color w:val="545551"/>
              </w:rPr>
            </w:pPr>
            <w:bookmarkStart w:id="0" w:name="xingming"/>
            <w:bookmarkStart w:id="1" w:name="_GoBack"/>
            <w:bookmarkEnd w:id="1"/>
            <w:r w:rsidRPr="007E7C93">
              <w:rPr>
                <w:rFonts w:ascii="宋体" w:eastAsia="宋体" w:hAnsi="Times New Roman"/>
                <w:b/>
                <w:color w:val="000000"/>
                <w:sz w:val="48"/>
              </w:rPr>
              <w:t>BOBBY NOER RAHMAN</w:t>
            </w:r>
            <w:bookmarkEnd w:id="0"/>
          </w:p>
          <w:p w14:paraId="706EB16B" w14:textId="47B74921" w:rsidR="0049405C" w:rsidRPr="00187BAA" w:rsidRDefault="007E7C93" w:rsidP="007E7C93">
            <w:pPr>
              <w:spacing w:line="360" w:lineRule="auto"/>
              <w:rPr>
                <w:rFonts w:ascii="宋体" w:eastAsia="宋体" w:hAnsi="宋体"/>
                <w:b/>
                <w:bCs/>
                <w:color w:val="545551"/>
              </w:rPr>
            </w:pPr>
            <w:bookmarkStart w:id="2" w:name="didian"/>
            <w:r w:rsidRPr="007E7C93">
              <w:rPr>
                <w:rFonts w:ascii="宋体" w:eastAsia="宋体" w:hAnsi="Times New Roman" w:hint="eastAsia"/>
                <w:b/>
                <w:bCs/>
                <w:color w:val="000000"/>
              </w:rPr>
              <w:t>本地合伙人·新加坡</w:t>
            </w:r>
            <w:bookmarkEnd w:id="2"/>
          </w:p>
          <w:p w14:paraId="6199424A" w14:textId="5D7D406B" w:rsidR="0049405C" w:rsidRPr="00187BAA" w:rsidRDefault="007E7C93" w:rsidP="007E7C93">
            <w:pPr>
              <w:spacing w:line="360" w:lineRule="auto"/>
              <w:rPr>
                <w:rFonts w:ascii="宋体" w:eastAsia="宋体" w:hAnsi="宋体"/>
                <w:color w:val="545551"/>
              </w:rPr>
            </w:pPr>
            <w:bookmarkStart w:id="3" w:name="dianhua"/>
            <w:r w:rsidRPr="007E7C93">
              <w:rPr>
                <w:rFonts w:ascii="宋体" w:eastAsia="宋体" w:hAnsi="Times New Roman"/>
                <w:color w:val="000000"/>
              </w:rPr>
              <w:t>+65 6859 6789</w:t>
            </w:r>
            <w:bookmarkEnd w:id="3"/>
          </w:p>
          <w:p w14:paraId="4F910ACA" w14:textId="291D2303" w:rsidR="0049405C" w:rsidRPr="00187BAA" w:rsidRDefault="007E7C93" w:rsidP="007E7C93">
            <w:pPr>
              <w:spacing w:line="360" w:lineRule="auto"/>
              <w:rPr>
                <w:rFonts w:ascii="宋体" w:eastAsia="宋体" w:hAnsi="宋体"/>
                <w:color w:val="000000"/>
              </w:rPr>
            </w:pPr>
            <w:bookmarkStart w:id="4" w:name="youxiang"/>
            <w:r w:rsidRPr="007E7C93">
              <w:rPr>
                <w:rFonts w:ascii="宋体" w:eastAsia="宋体" w:hAnsi="Times New Roman"/>
                <w:color w:val="000000"/>
              </w:rPr>
              <w:t>bobby.rahman@fangdalaw.com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81059F8" w:rsidR="0049405C" w:rsidRPr="00187BAA" w:rsidRDefault="007E7C9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6583CC2" wp14:editId="29B5897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DD4F145" w:rsidR="009465FB" w:rsidRPr="00187BAA" w:rsidRDefault="007E7C93" w:rsidP="007177F3">
            <w:pPr>
              <w:rPr>
                <w:rFonts w:ascii="宋体" w:eastAsia="宋体" w:hAnsi="宋体"/>
                <w:color w:val="000000"/>
                <w:szCs w:val="21"/>
              </w:rPr>
            </w:pPr>
            <w:bookmarkStart w:id="6" w:name="zhiyelingyu"/>
            <w:r w:rsidRPr="007E7C93">
              <w:rPr>
                <w:rFonts w:ascii="宋体" w:eastAsia="宋体" w:hAnsi="Times New Roman"/>
                <w:color w:val="000000"/>
                <w:szCs w:val="21"/>
              </w:rPr>
              <w:t>Rahman先生专注于印尼公司法和商法，涵盖银行和金融、房地产和基础设施以及自然资源领域。他还处理涉及印尼公司的跨境投资事宜。</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21B3EEC" w14:textId="77777777" w:rsidR="007E7C9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6C7E78E" w14:textId="77777777" w:rsidR="007E7C93" w:rsidRDefault="007E7C93" w:rsidP="007E7C93">
      <w:pPr>
        <w:pStyle w:val="af5"/>
        <w:spacing w:after="0" w:line="480" w:lineRule="auto"/>
        <w:rPr>
          <w:rFonts w:ascii="宋体" w:eastAsia="宋体" w:hAnsi="宋体"/>
          <w:b/>
          <w:sz w:val="24"/>
        </w:rPr>
      </w:pPr>
      <w:r w:rsidRPr="007E7C93">
        <w:rPr>
          <w:rFonts w:ascii="宋体" w:eastAsia="宋体" w:hAnsi="宋体" w:hint="eastAsia"/>
          <w:b/>
          <w:sz w:val="24"/>
        </w:rPr>
        <w:t>近期代理的主要案件</w:t>
      </w:r>
    </w:p>
    <w:p w14:paraId="68C8E4B1" w14:textId="77777777" w:rsidR="007E7C93" w:rsidRDefault="007E7C93" w:rsidP="007E7C93">
      <w:pPr>
        <w:pStyle w:val="af5"/>
        <w:spacing w:before="120"/>
        <w:rPr>
          <w:rFonts w:ascii="宋体" w:eastAsia="宋体" w:hAnsi="Times New Roman"/>
          <w:color w:val="000000"/>
        </w:rPr>
      </w:pPr>
    </w:p>
    <w:p w14:paraId="22AE3C57" w14:textId="77777777" w:rsidR="007E7C93" w:rsidRDefault="007E7C93" w:rsidP="007E7C93">
      <w:pPr>
        <w:pStyle w:val="af5"/>
        <w:numPr>
          <w:ilvl w:val="0"/>
          <w:numId w:val="4"/>
        </w:numPr>
        <w:spacing w:before="120"/>
        <w:ind w:left="690" w:hanging="240"/>
        <w:rPr>
          <w:rFonts w:ascii="宋体" w:eastAsia="宋体" w:hAnsi="Times New Roman"/>
          <w:color w:val="000000"/>
        </w:rPr>
      </w:pPr>
      <w:r w:rsidRPr="007E7C93">
        <w:rPr>
          <w:rFonts w:ascii="宋体" w:eastAsia="宋体" w:hAnsi="Times New Roman" w:hint="eastAsia"/>
          <w:color w:val="000000"/>
        </w:rPr>
        <w:t>代表印度尼西亚最大的国有银行之一</w:t>
      </w:r>
      <w:r w:rsidRPr="007E7C93">
        <w:rPr>
          <w:rFonts w:ascii="宋体" w:eastAsia="宋体" w:hAnsi="Times New Roman"/>
          <w:color w:val="000000"/>
        </w:rPr>
        <w:t>PT Bank Rakyat Indonesia (Persero), Tbk.收购PT Bank Agroniaga, Tbk.，并将其转变为伊斯兰银行。</w:t>
      </w:r>
    </w:p>
    <w:p w14:paraId="17B1905D" w14:textId="77777777" w:rsidR="007E7C93" w:rsidRDefault="007E7C93" w:rsidP="007E7C93">
      <w:pPr>
        <w:pStyle w:val="af5"/>
        <w:numPr>
          <w:ilvl w:val="0"/>
          <w:numId w:val="5"/>
        </w:numPr>
        <w:spacing w:before="120"/>
        <w:ind w:left="690" w:hanging="240"/>
        <w:rPr>
          <w:rFonts w:ascii="宋体" w:eastAsia="宋体" w:hAnsi="Times New Roman"/>
          <w:color w:val="000000"/>
        </w:rPr>
      </w:pPr>
      <w:r w:rsidRPr="007E7C93">
        <w:rPr>
          <w:rFonts w:ascii="宋体" w:eastAsia="宋体" w:hAnsi="Times New Roman" w:hint="eastAsia"/>
          <w:color w:val="000000"/>
        </w:rPr>
        <w:t>代表</w:t>
      </w:r>
      <w:r w:rsidRPr="007E7C93">
        <w:rPr>
          <w:rFonts w:ascii="宋体" w:eastAsia="宋体" w:hAnsi="Times New Roman"/>
          <w:color w:val="000000"/>
        </w:rPr>
        <w:t>PT Bank Bukopin, Tbk.的股东向Bosowa Group出售股份。</w:t>
      </w:r>
    </w:p>
    <w:p w14:paraId="335A436B" w14:textId="77777777" w:rsidR="007E7C93" w:rsidRDefault="007E7C93" w:rsidP="007E7C93">
      <w:pPr>
        <w:pStyle w:val="af5"/>
        <w:numPr>
          <w:ilvl w:val="0"/>
          <w:numId w:val="6"/>
        </w:numPr>
        <w:spacing w:before="120"/>
        <w:ind w:left="690" w:hanging="240"/>
        <w:rPr>
          <w:rFonts w:ascii="宋体" w:eastAsia="宋体" w:hAnsi="Times New Roman"/>
          <w:color w:val="000000"/>
        </w:rPr>
      </w:pPr>
      <w:r w:rsidRPr="007E7C93">
        <w:rPr>
          <w:rFonts w:ascii="宋体" w:eastAsia="宋体" w:hAnsi="Times New Roman" w:hint="eastAsia"/>
          <w:color w:val="000000"/>
        </w:rPr>
        <w:t>代表</w:t>
      </w:r>
      <w:r w:rsidRPr="007E7C93">
        <w:rPr>
          <w:rFonts w:ascii="宋体" w:eastAsia="宋体" w:hAnsi="Times New Roman"/>
          <w:color w:val="000000"/>
        </w:rPr>
        <w:t>PT Bank Mandiri (Persero), Tbk.收购AXA Mandiri Insurance 2%的股份。</w:t>
      </w:r>
    </w:p>
    <w:p w14:paraId="682E0707" w14:textId="77777777" w:rsidR="007E7C93" w:rsidRDefault="007E7C93" w:rsidP="007E7C93">
      <w:pPr>
        <w:pStyle w:val="af5"/>
        <w:numPr>
          <w:ilvl w:val="0"/>
          <w:numId w:val="7"/>
        </w:numPr>
        <w:spacing w:before="120"/>
        <w:ind w:left="690" w:hanging="240"/>
        <w:rPr>
          <w:rFonts w:ascii="宋体" w:eastAsia="宋体" w:hAnsi="Times New Roman"/>
          <w:color w:val="000000"/>
        </w:rPr>
      </w:pPr>
      <w:r w:rsidRPr="007E7C93">
        <w:rPr>
          <w:rFonts w:ascii="宋体" w:eastAsia="宋体" w:hAnsi="Times New Roman" w:hint="eastAsia"/>
          <w:color w:val="000000"/>
        </w:rPr>
        <w:t>代表马来西亚的一家大型种植园公司</w:t>
      </w:r>
      <w:r w:rsidRPr="007E7C93">
        <w:rPr>
          <w:rFonts w:ascii="宋体" w:eastAsia="宋体" w:hAnsi="Times New Roman"/>
          <w:color w:val="000000"/>
        </w:rPr>
        <w:t>Kuala Lumpur Kepong Bhd.收购位于印度尼西亚苏门答腊岛和加里曼丹岛的多家种植园公司。</w:t>
      </w:r>
    </w:p>
    <w:p w14:paraId="5FB93AEB" w14:textId="77777777" w:rsidR="007E7C93" w:rsidRDefault="007E7C93" w:rsidP="007E7C93">
      <w:pPr>
        <w:pStyle w:val="af5"/>
        <w:numPr>
          <w:ilvl w:val="0"/>
          <w:numId w:val="8"/>
        </w:numPr>
        <w:spacing w:before="120"/>
        <w:ind w:left="690" w:hanging="240"/>
        <w:rPr>
          <w:rFonts w:ascii="宋体" w:eastAsia="宋体" w:hAnsi="Times New Roman"/>
          <w:color w:val="000000"/>
        </w:rPr>
      </w:pPr>
      <w:r w:rsidRPr="007E7C93">
        <w:rPr>
          <w:rFonts w:ascii="宋体" w:eastAsia="宋体" w:hAnsi="Times New Roman" w:hint="eastAsia"/>
          <w:color w:val="000000"/>
        </w:rPr>
        <w:t>代表印尼多家国有伊斯兰银行，为</w:t>
      </w:r>
      <w:r w:rsidRPr="007E7C93">
        <w:rPr>
          <w:rFonts w:ascii="宋体" w:eastAsia="宋体" w:hAnsi="Times New Roman"/>
          <w:color w:val="000000"/>
        </w:rPr>
        <w:t>PT KutilangPaksi Mas (KPM)在加里曼丹岛丹绒巴都（TanjungBatu）和洛瓦（Lowa）以及苏门答腊岛勿拉湾1号和勿拉湾2号的发电厂和HSD（高供给柴油）项目提供各种伊斯兰银团贷款，金额达1185万亿印尼盾和7900万美元。</w:t>
      </w:r>
    </w:p>
    <w:p w14:paraId="28D55F50" w14:textId="77777777" w:rsidR="007E7C93" w:rsidRDefault="007E7C93" w:rsidP="007E7C93">
      <w:pPr>
        <w:pStyle w:val="af5"/>
        <w:numPr>
          <w:ilvl w:val="0"/>
          <w:numId w:val="9"/>
        </w:numPr>
        <w:spacing w:before="120"/>
        <w:ind w:left="690" w:hanging="240"/>
        <w:rPr>
          <w:rFonts w:ascii="宋体" w:eastAsia="宋体" w:hAnsi="Times New Roman"/>
          <w:color w:val="000000"/>
        </w:rPr>
      </w:pPr>
      <w:r w:rsidRPr="007E7C93">
        <w:rPr>
          <w:rFonts w:ascii="宋体" w:eastAsia="宋体" w:hAnsi="Times New Roman" w:hint="eastAsia"/>
          <w:color w:val="000000"/>
        </w:rPr>
        <w:t>代表多家国有传统银行和伊斯兰银行就向电信网络服务提供商</w:t>
      </w:r>
      <w:r w:rsidRPr="007E7C93">
        <w:rPr>
          <w:rFonts w:ascii="宋体" w:eastAsia="宋体" w:hAnsi="Times New Roman"/>
          <w:color w:val="000000"/>
        </w:rPr>
        <w:t>PT Citra Sari Makmur, Tbk.提供印度尼西亚首笔俱乐部交易融资提供法律服务。</w:t>
      </w:r>
    </w:p>
    <w:p w14:paraId="66EF2032" w14:textId="77777777" w:rsidR="007E7C93" w:rsidRDefault="007E7C93" w:rsidP="007E7C93">
      <w:pPr>
        <w:pStyle w:val="af5"/>
        <w:numPr>
          <w:ilvl w:val="0"/>
          <w:numId w:val="10"/>
        </w:numPr>
        <w:spacing w:before="120"/>
        <w:ind w:left="690" w:hanging="240"/>
        <w:rPr>
          <w:rFonts w:ascii="宋体" w:eastAsia="宋体" w:hAnsi="Times New Roman"/>
          <w:color w:val="000000"/>
        </w:rPr>
      </w:pPr>
      <w:r w:rsidRPr="007E7C93">
        <w:rPr>
          <w:rFonts w:ascii="宋体" w:eastAsia="宋体" w:hAnsi="Times New Roman" w:hint="eastAsia"/>
          <w:color w:val="000000"/>
        </w:rPr>
        <w:t>代表安中石油（</w:t>
      </w:r>
      <w:r w:rsidRPr="007E7C93">
        <w:rPr>
          <w:rFonts w:ascii="宋体" w:eastAsia="宋体" w:hAnsi="Times New Roman"/>
          <w:color w:val="000000"/>
        </w:rPr>
        <w:t>China Sonangol Pte. Ltd.）收购印度尼西亚巴厘岛金巴兰洲际酒店（Jimbaran Intercontinental Hotel）项目公司的多数股权提供法律服务。</w:t>
      </w:r>
    </w:p>
    <w:p w14:paraId="6575D316" w14:textId="77777777" w:rsidR="007E7C93" w:rsidRDefault="007E7C93" w:rsidP="007E7C93">
      <w:pPr>
        <w:pStyle w:val="af5"/>
        <w:numPr>
          <w:ilvl w:val="0"/>
          <w:numId w:val="11"/>
        </w:numPr>
        <w:spacing w:before="120"/>
        <w:ind w:left="690" w:hanging="240"/>
        <w:rPr>
          <w:rFonts w:ascii="宋体" w:eastAsia="宋体" w:hAnsi="Times New Roman"/>
          <w:color w:val="000000"/>
        </w:rPr>
      </w:pPr>
      <w:r w:rsidRPr="007E7C93">
        <w:rPr>
          <w:rFonts w:ascii="宋体" w:eastAsia="宋体" w:hAnsi="Times New Roman" w:hint="eastAsia"/>
          <w:color w:val="000000"/>
        </w:rPr>
        <w:t>代表吉宝置业（</w:t>
      </w:r>
      <w:r w:rsidRPr="007E7C93">
        <w:rPr>
          <w:rFonts w:ascii="宋体" w:eastAsia="宋体" w:hAnsi="Times New Roman"/>
          <w:color w:val="000000"/>
        </w:rPr>
        <w:t>Keppel Land）收购印尼东雅加达大型住宅雅加达花园城（Jakarta Garden City）项目公司的多数股权提供法律服务。</w:t>
      </w:r>
    </w:p>
    <w:p w14:paraId="0D2E5857" w14:textId="77777777" w:rsidR="007E7C93" w:rsidRDefault="007E7C93" w:rsidP="007E7C93">
      <w:pPr>
        <w:pStyle w:val="af5"/>
        <w:numPr>
          <w:ilvl w:val="0"/>
          <w:numId w:val="12"/>
        </w:numPr>
        <w:spacing w:before="120"/>
        <w:ind w:left="690" w:hanging="240"/>
        <w:rPr>
          <w:rFonts w:ascii="宋体" w:eastAsia="宋体" w:hAnsi="Times New Roman"/>
          <w:color w:val="000000"/>
        </w:rPr>
      </w:pPr>
      <w:r w:rsidRPr="007E7C93">
        <w:rPr>
          <w:rFonts w:ascii="宋体" w:eastAsia="宋体" w:hAnsi="Times New Roman" w:hint="eastAsia"/>
          <w:color w:val="000000"/>
        </w:rPr>
        <w:t>代表吉宝置业（</w:t>
      </w:r>
      <w:r w:rsidRPr="007E7C93">
        <w:rPr>
          <w:rFonts w:ascii="宋体" w:eastAsia="宋体" w:hAnsi="Times New Roman"/>
          <w:color w:val="000000"/>
        </w:rPr>
        <w:t>Keppel Land）收购位于雅加达市中心的商业办公楼国际金融中心二号楼（IFC Tower 2）提供法律服务。</w:t>
      </w:r>
    </w:p>
    <w:p w14:paraId="7F0CD600" w14:textId="77777777" w:rsidR="007E7C93" w:rsidRDefault="007E7C93" w:rsidP="007E7C93">
      <w:pPr>
        <w:pStyle w:val="af5"/>
        <w:numPr>
          <w:ilvl w:val="0"/>
          <w:numId w:val="13"/>
        </w:numPr>
        <w:spacing w:before="120"/>
        <w:ind w:left="690" w:hanging="240"/>
        <w:rPr>
          <w:rFonts w:ascii="宋体" w:eastAsia="宋体" w:hAnsi="Times New Roman"/>
          <w:color w:val="000000"/>
        </w:rPr>
      </w:pPr>
      <w:r w:rsidRPr="007E7C93">
        <w:rPr>
          <w:rFonts w:ascii="宋体" w:eastAsia="宋体" w:hAnsi="Times New Roman" w:hint="eastAsia"/>
          <w:color w:val="000000"/>
        </w:rPr>
        <w:t>代表安中石油（</w:t>
      </w:r>
      <w:r w:rsidRPr="007E7C93">
        <w:rPr>
          <w:rFonts w:ascii="宋体" w:eastAsia="宋体" w:hAnsi="Times New Roman"/>
          <w:color w:val="000000"/>
        </w:rPr>
        <w:t>China Sonangol Pte. Ltd.）处理位于雅加达市中心的Indonesia Tower开发项目的融资事宜提供法律服务。</w:t>
      </w:r>
    </w:p>
    <w:p w14:paraId="3FF795D4" w14:textId="77777777" w:rsidR="007E7C93" w:rsidRDefault="007E7C93" w:rsidP="007E7C93">
      <w:pPr>
        <w:pStyle w:val="af5"/>
        <w:numPr>
          <w:ilvl w:val="0"/>
          <w:numId w:val="14"/>
        </w:numPr>
        <w:spacing w:before="120"/>
        <w:ind w:left="690" w:hanging="240"/>
        <w:rPr>
          <w:rFonts w:ascii="宋体" w:eastAsia="宋体" w:hAnsi="Times New Roman"/>
          <w:color w:val="000000"/>
        </w:rPr>
      </w:pPr>
      <w:r w:rsidRPr="007E7C93">
        <w:rPr>
          <w:rFonts w:ascii="宋体" w:eastAsia="宋体" w:hAnsi="Times New Roman" w:hint="eastAsia"/>
          <w:color w:val="000000"/>
        </w:rPr>
        <w:t>代表</w:t>
      </w:r>
      <w:r w:rsidRPr="007E7C93">
        <w:rPr>
          <w:rFonts w:ascii="宋体" w:eastAsia="宋体" w:hAnsi="Times New Roman"/>
          <w:color w:val="000000"/>
        </w:rPr>
        <w:t>IJM Berhad收购位于印度尼西亚楠榜的垦殖权（HGU）土地提供法律服务。</w:t>
      </w:r>
    </w:p>
    <w:p w14:paraId="7320FEF5" w14:textId="77777777" w:rsidR="007E7C93" w:rsidRDefault="007E7C93" w:rsidP="007E7C93">
      <w:pPr>
        <w:pStyle w:val="af5"/>
        <w:numPr>
          <w:ilvl w:val="0"/>
          <w:numId w:val="15"/>
        </w:numPr>
        <w:spacing w:before="120"/>
        <w:ind w:left="690" w:hanging="240"/>
        <w:rPr>
          <w:rFonts w:ascii="宋体" w:eastAsia="宋体" w:hAnsi="Times New Roman"/>
          <w:color w:val="000000"/>
        </w:rPr>
      </w:pPr>
      <w:r w:rsidRPr="007E7C93">
        <w:rPr>
          <w:rFonts w:ascii="宋体" w:eastAsia="宋体" w:hAnsi="Times New Roman" w:hint="eastAsia"/>
          <w:color w:val="000000"/>
        </w:rPr>
        <w:t>代表一家印尼企业集团作为业主，采用</w:t>
      </w:r>
      <w:r w:rsidRPr="007E7C93">
        <w:rPr>
          <w:rFonts w:ascii="宋体" w:eastAsia="宋体" w:hAnsi="Times New Roman"/>
          <w:color w:val="000000"/>
        </w:rPr>
        <w:t>FIDIC银皮书模式（EPC/Turnkey 交钥匙合同）建造煤电厂。</w:t>
      </w:r>
    </w:p>
    <w:p w14:paraId="52755B70" w14:textId="77777777" w:rsidR="007E7C93" w:rsidRDefault="007E7C93" w:rsidP="007E7C93">
      <w:pPr>
        <w:pStyle w:val="af5"/>
        <w:numPr>
          <w:ilvl w:val="0"/>
          <w:numId w:val="16"/>
        </w:numPr>
        <w:spacing w:before="120"/>
        <w:ind w:left="690" w:hanging="240"/>
        <w:rPr>
          <w:rFonts w:ascii="宋体" w:eastAsia="宋体" w:hAnsi="Times New Roman"/>
          <w:color w:val="000000"/>
        </w:rPr>
      </w:pPr>
      <w:r w:rsidRPr="007E7C93">
        <w:rPr>
          <w:rFonts w:ascii="宋体" w:eastAsia="宋体" w:hAnsi="Times New Roman" w:hint="eastAsia"/>
          <w:color w:val="000000"/>
        </w:rPr>
        <w:t>代表华夏幸福印尼（</w:t>
      </w:r>
      <w:r w:rsidRPr="007E7C93">
        <w:rPr>
          <w:rFonts w:ascii="宋体" w:eastAsia="宋体" w:hAnsi="Times New Roman"/>
          <w:color w:val="000000"/>
        </w:rPr>
        <w:t>CFLD Indonesia）与三菱亚洲地产（Mitsubishi Estate Asia）成立合资公司提供法律服务，该合资公司旨在印尼的丹格朗开发商业区和有地住宅。</w:t>
      </w:r>
    </w:p>
    <w:p w14:paraId="5A05DFFD" w14:textId="77777777" w:rsidR="007E7C93" w:rsidRDefault="007E7C93" w:rsidP="007E7C93">
      <w:pPr>
        <w:pStyle w:val="af5"/>
        <w:numPr>
          <w:ilvl w:val="0"/>
          <w:numId w:val="17"/>
        </w:numPr>
        <w:spacing w:before="120"/>
        <w:ind w:left="690" w:hanging="240"/>
        <w:rPr>
          <w:rFonts w:ascii="宋体" w:eastAsia="宋体" w:hAnsi="Times New Roman"/>
          <w:color w:val="000000"/>
        </w:rPr>
      </w:pPr>
      <w:r w:rsidRPr="007E7C93">
        <w:rPr>
          <w:rFonts w:ascii="宋体" w:eastAsia="宋体" w:hAnsi="Times New Roman" w:hint="eastAsia"/>
          <w:color w:val="000000"/>
        </w:rPr>
        <w:t>代表华夏幸福印尼（</w:t>
      </w:r>
      <w:r w:rsidRPr="007E7C93">
        <w:rPr>
          <w:rFonts w:ascii="宋体" w:eastAsia="宋体" w:hAnsi="Times New Roman"/>
          <w:color w:val="000000"/>
        </w:rPr>
        <w:t>CFLD Indonesia）从印尼一家大型企业集团收购位于西爪哇卡拉旺的工业用地提供法律服务。</w:t>
      </w:r>
    </w:p>
    <w:p w14:paraId="58C42B27" w14:textId="77777777" w:rsidR="007E7C93" w:rsidRDefault="007E7C93" w:rsidP="007E7C93">
      <w:pPr>
        <w:pStyle w:val="af5"/>
        <w:numPr>
          <w:ilvl w:val="0"/>
          <w:numId w:val="18"/>
        </w:numPr>
        <w:spacing w:before="120"/>
        <w:ind w:left="690" w:hanging="240"/>
        <w:rPr>
          <w:rFonts w:ascii="宋体" w:eastAsia="宋体" w:hAnsi="Times New Roman"/>
          <w:color w:val="000000"/>
        </w:rPr>
      </w:pPr>
      <w:r w:rsidRPr="007E7C93">
        <w:rPr>
          <w:rFonts w:ascii="宋体" w:eastAsia="宋体" w:hAnsi="Times New Roman" w:hint="eastAsia"/>
          <w:color w:val="000000"/>
        </w:rPr>
        <w:t>代表华夏幸福印尼（</w:t>
      </w:r>
      <w:r w:rsidRPr="007E7C93">
        <w:rPr>
          <w:rFonts w:ascii="宋体" w:eastAsia="宋体" w:hAnsi="Times New Roman"/>
          <w:color w:val="000000"/>
        </w:rPr>
        <w:t>CFLD Indonesia）向宁德时代（CATL）出售用于建设印尼最大的电动汽车电池厂土地提供法律服务。</w:t>
      </w:r>
    </w:p>
    <w:p w14:paraId="6C638A15" w14:textId="77777777" w:rsidR="007E7C93" w:rsidRDefault="007E7C93" w:rsidP="007E7C93">
      <w:pPr>
        <w:pStyle w:val="af5"/>
        <w:numPr>
          <w:ilvl w:val="0"/>
          <w:numId w:val="19"/>
        </w:numPr>
        <w:spacing w:before="120"/>
        <w:ind w:left="690" w:hanging="240"/>
        <w:rPr>
          <w:rFonts w:ascii="宋体" w:eastAsia="宋体" w:hAnsi="Times New Roman"/>
          <w:color w:val="000000"/>
        </w:rPr>
      </w:pPr>
      <w:r w:rsidRPr="007E7C93">
        <w:rPr>
          <w:rFonts w:ascii="宋体" w:eastAsia="宋体" w:hAnsi="Times New Roman" w:hint="eastAsia"/>
          <w:color w:val="000000"/>
        </w:rPr>
        <w:t>代表华夏幸福印尼（</w:t>
      </w:r>
      <w:r w:rsidRPr="007E7C93">
        <w:rPr>
          <w:rFonts w:ascii="宋体" w:eastAsia="宋体" w:hAnsi="Times New Roman"/>
          <w:color w:val="000000"/>
        </w:rPr>
        <w:t>CFLD Indonesia）向LG新能源（LG Energy Solution）出售用于建设电池厂的土地提供法律服务。</w:t>
      </w:r>
    </w:p>
    <w:p w14:paraId="12EC0E5A" w14:textId="77777777" w:rsidR="007E7C93" w:rsidRDefault="007E7C93" w:rsidP="007E7C93">
      <w:pPr>
        <w:pStyle w:val="af5"/>
        <w:numPr>
          <w:ilvl w:val="0"/>
          <w:numId w:val="20"/>
        </w:numPr>
        <w:spacing w:before="120"/>
        <w:ind w:left="690" w:hanging="240"/>
        <w:rPr>
          <w:rFonts w:ascii="宋体" w:eastAsia="宋体" w:hAnsi="Times New Roman"/>
          <w:color w:val="000000"/>
        </w:rPr>
      </w:pPr>
      <w:r w:rsidRPr="007E7C93">
        <w:rPr>
          <w:rFonts w:ascii="宋体" w:eastAsia="宋体" w:hAnsi="Times New Roman" w:hint="eastAsia"/>
          <w:color w:val="000000"/>
        </w:rPr>
        <w:t>代表华夏幸福印尼（</w:t>
      </w:r>
      <w:r w:rsidRPr="007E7C93">
        <w:rPr>
          <w:rFonts w:ascii="宋体" w:eastAsia="宋体" w:hAnsi="Times New Roman"/>
          <w:color w:val="000000"/>
        </w:rPr>
        <w:t>CFLD Indonesia）向亿恩科（EnChem）出售用于建设电池厂的土地提供法律服务。</w:t>
      </w:r>
    </w:p>
    <w:p w14:paraId="4B5B239A" w14:textId="77777777" w:rsidR="007E7C93" w:rsidRDefault="007E7C93" w:rsidP="007E7C93">
      <w:pPr>
        <w:pStyle w:val="af5"/>
        <w:numPr>
          <w:ilvl w:val="0"/>
          <w:numId w:val="21"/>
        </w:numPr>
        <w:spacing w:before="120"/>
        <w:ind w:left="690" w:hanging="240"/>
        <w:rPr>
          <w:rFonts w:ascii="宋体" w:eastAsia="宋体" w:hAnsi="Times New Roman"/>
          <w:color w:val="000000"/>
        </w:rPr>
      </w:pPr>
      <w:r w:rsidRPr="007E7C93">
        <w:rPr>
          <w:rFonts w:ascii="宋体" w:eastAsia="宋体" w:hAnsi="Times New Roman" w:hint="eastAsia"/>
          <w:color w:val="000000"/>
        </w:rPr>
        <w:t>代表华夏幸福印尼（</w:t>
      </w:r>
      <w:r w:rsidRPr="007E7C93">
        <w:rPr>
          <w:rFonts w:ascii="宋体" w:eastAsia="宋体" w:hAnsi="Times New Roman"/>
          <w:color w:val="000000"/>
        </w:rPr>
        <w:t>CFLD Indonesia）向印尼一家企业集团出售土地提供法律服务，该土地用于建设在丹格朗的一家知名国际学校。</w:t>
      </w:r>
    </w:p>
    <w:p w14:paraId="056A85F4" w14:textId="77777777" w:rsidR="007E7C93" w:rsidRDefault="007E7C93" w:rsidP="007E7C93">
      <w:pPr>
        <w:pStyle w:val="af5"/>
        <w:numPr>
          <w:ilvl w:val="0"/>
          <w:numId w:val="22"/>
        </w:numPr>
        <w:spacing w:before="120"/>
        <w:ind w:left="690" w:hanging="240"/>
        <w:rPr>
          <w:rFonts w:ascii="宋体" w:eastAsia="宋体" w:hAnsi="Times New Roman"/>
          <w:color w:val="000000"/>
        </w:rPr>
      </w:pPr>
      <w:r w:rsidRPr="007E7C93">
        <w:rPr>
          <w:rFonts w:ascii="宋体" w:eastAsia="宋体" w:hAnsi="Times New Roman" w:hint="eastAsia"/>
          <w:color w:val="000000"/>
        </w:rPr>
        <w:t>代表华夏幸福印尼（</w:t>
      </w:r>
      <w:r w:rsidRPr="007E7C93">
        <w:rPr>
          <w:rFonts w:ascii="宋体" w:eastAsia="宋体" w:hAnsi="Times New Roman"/>
          <w:color w:val="000000"/>
        </w:rPr>
        <w:t>CFLD Indonesia）使用FIDIC红皮书模式与多家承包商就其工业地产项目和住宅项目的施工合同进行谈判。</w:t>
      </w:r>
    </w:p>
    <w:p w14:paraId="7C286898" w14:textId="77777777" w:rsidR="007E7C93" w:rsidRDefault="007E7C93" w:rsidP="007E7C93">
      <w:pPr>
        <w:pStyle w:val="af5"/>
        <w:numPr>
          <w:ilvl w:val="0"/>
          <w:numId w:val="23"/>
        </w:numPr>
        <w:spacing w:before="120"/>
        <w:ind w:left="690" w:hanging="240"/>
        <w:rPr>
          <w:rFonts w:ascii="宋体" w:eastAsia="宋体" w:hAnsi="Times New Roman"/>
          <w:color w:val="000000"/>
        </w:rPr>
      </w:pPr>
      <w:r w:rsidRPr="007E7C93">
        <w:rPr>
          <w:rFonts w:ascii="宋体" w:eastAsia="宋体" w:hAnsi="Times New Roman" w:hint="eastAsia"/>
          <w:color w:val="000000"/>
        </w:rPr>
        <w:t>代表华夏幸福印尼（</w:t>
      </w:r>
      <w:r w:rsidRPr="007E7C93">
        <w:rPr>
          <w:rFonts w:ascii="宋体" w:eastAsia="宋体" w:hAnsi="Times New Roman"/>
          <w:color w:val="000000"/>
        </w:rPr>
        <w:t>CFLD Indonesia）使用FIDIC红皮书模式与多家承包商就其工业地产项目和住宅项目的设计和建造合同进行谈判。   *上述某些项目为加入方达律师事务所前经办完成的项目。</w:t>
      </w:r>
    </w:p>
    <w:p w14:paraId="6013A3FA" w14:textId="77777777" w:rsidR="007E7C93" w:rsidRDefault="007E7C93" w:rsidP="007E7C93">
      <w:pPr>
        <w:pStyle w:val="af5"/>
        <w:spacing w:after="0" w:line="480" w:lineRule="auto"/>
        <w:rPr>
          <w:rFonts w:ascii="宋体" w:eastAsia="宋体" w:hAnsi="宋体"/>
          <w:b/>
          <w:sz w:val="24"/>
        </w:rPr>
      </w:pPr>
      <w:r w:rsidRPr="007E7C93">
        <w:rPr>
          <w:rFonts w:ascii="宋体" w:eastAsia="宋体" w:hAnsi="宋体" w:hint="eastAsia"/>
          <w:b/>
          <w:sz w:val="24"/>
        </w:rPr>
        <w:t>教育背景</w:t>
      </w:r>
    </w:p>
    <w:p w14:paraId="7BA6DA61" w14:textId="77777777" w:rsidR="007E7C93" w:rsidRDefault="007E7C93" w:rsidP="007E7C93">
      <w:pPr>
        <w:pStyle w:val="af5"/>
        <w:numPr>
          <w:ilvl w:val="0"/>
          <w:numId w:val="24"/>
        </w:numPr>
        <w:spacing w:before="120"/>
        <w:ind w:left="690" w:hanging="240"/>
        <w:rPr>
          <w:rFonts w:ascii="宋体" w:eastAsia="宋体" w:hAnsi="Times New Roman"/>
          <w:color w:val="000000"/>
        </w:rPr>
      </w:pPr>
      <w:r w:rsidRPr="007E7C93">
        <w:rPr>
          <w:rFonts w:ascii="宋体" w:eastAsia="宋体" w:hAnsi="Times New Roman" w:hint="eastAsia"/>
          <w:color w:val="000000"/>
        </w:rPr>
        <w:t>印尼国立巴查查兰大学法学院，法学学士</w:t>
      </w:r>
    </w:p>
    <w:p w14:paraId="21F5C46E" w14:textId="77777777" w:rsidR="007E7C93" w:rsidRDefault="007E7C93" w:rsidP="007E7C93">
      <w:pPr>
        <w:pStyle w:val="af5"/>
        <w:numPr>
          <w:ilvl w:val="0"/>
          <w:numId w:val="25"/>
        </w:numPr>
        <w:spacing w:before="120"/>
        <w:ind w:left="690" w:hanging="240"/>
        <w:rPr>
          <w:rFonts w:ascii="宋体" w:eastAsia="宋体" w:hAnsi="Times New Roman"/>
          <w:color w:val="000000"/>
        </w:rPr>
      </w:pPr>
      <w:r w:rsidRPr="007E7C93">
        <w:rPr>
          <w:rFonts w:ascii="宋体" w:eastAsia="宋体" w:hAnsi="Times New Roman" w:hint="eastAsia"/>
          <w:color w:val="000000"/>
        </w:rPr>
        <w:t>鹿特丹伊拉斯姆斯大学，法学硕士</w:t>
      </w:r>
    </w:p>
    <w:p w14:paraId="3428BFA7" w14:textId="77777777" w:rsidR="007E7C93" w:rsidRDefault="007E7C93" w:rsidP="007E7C93">
      <w:pPr>
        <w:pStyle w:val="af5"/>
        <w:spacing w:after="0" w:line="480" w:lineRule="auto"/>
        <w:rPr>
          <w:rFonts w:ascii="宋体" w:eastAsia="宋体" w:hAnsi="宋体"/>
          <w:b/>
          <w:sz w:val="24"/>
        </w:rPr>
      </w:pPr>
      <w:r w:rsidRPr="007E7C93">
        <w:rPr>
          <w:rFonts w:ascii="宋体" w:eastAsia="宋体" w:hAnsi="宋体" w:hint="eastAsia"/>
          <w:b/>
          <w:sz w:val="24"/>
        </w:rPr>
        <w:t>执业资格</w:t>
      </w:r>
    </w:p>
    <w:p w14:paraId="0DD8DA62" w14:textId="77777777" w:rsidR="007E7C93" w:rsidRDefault="007E7C93" w:rsidP="007E7C93">
      <w:pPr>
        <w:pStyle w:val="af5"/>
        <w:numPr>
          <w:ilvl w:val="0"/>
          <w:numId w:val="26"/>
        </w:numPr>
        <w:spacing w:before="120"/>
        <w:ind w:left="690" w:hanging="240"/>
        <w:rPr>
          <w:rFonts w:ascii="宋体" w:eastAsia="宋体" w:hAnsi="Times New Roman"/>
          <w:color w:val="000000"/>
        </w:rPr>
      </w:pPr>
      <w:r w:rsidRPr="007E7C93">
        <w:rPr>
          <w:rFonts w:ascii="宋体" w:eastAsia="宋体" w:hAnsi="Times New Roman" w:hint="eastAsia"/>
          <w:color w:val="000000"/>
        </w:rPr>
        <w:t>印度尼西亚共和国执业律师</w:t>
      </w:r>
    </w:p>
    <w:p w14:paraId="094AB274" w14:textId="77777777" w:rsidR="007E7C93" w:rsidRDefault="007E7C93" w:rsidP="007E7C93">
      <w:pPr>
        <w:pStyle w:val="af5"/>
        <w:spacing w:after="0" w:line="480" w:lineRule="auto"/>
        <w:rPr>
          <w:rFonts w:ascii="宋体" w:eastAsia="宋体" w:hAnsi="宋体"/>
          <w:b/>
          <w:sz w:val="24"/>
        </w:rPr>
      </w:pPr>
      <w:r w:rsidRPr="007E7C93">
        <w:rPr>
          <w:rFonts w:ascii="宋体" w:eastAsia="宋体" w:hAnsi="宋体" w:hint="eastAsia"/>
          <w:b/>
          <w:sz w:val="24"/>
        </w:rPr>
        <w:t>职业背景</w:t>
      </w:r>
    </w:p>
    <w:p w14:paraId="1E76C4E7" w14:textId="77777777" w:rsidR="007E7C93" w:rsidRDefault="007E7C93" w:rsidP="007E7C93">
      <w:pPr>
        <w:pStyle w:val="af5"/>
        <w:numPr>
          <w:ilvl w:val="0"/>
          <w:numId w:val="27"/>
        </w:numPr>
        <w:spacing w:before="120"/>
        <w:ind w:left="690" w:hanging="240"/>
        <w:rPr>
          <w:rFonts w:ascii="宋体" w:eastAsia="宋体" w:hAnsi="Times New Roman"/>
          <w:color w:val="000000"/>
        </w:rPr>
      </w:pPr>
      <w:r w:rsidRPr="007E7C93">
        <w:rPr>
          <w:rFonts w:ascii="宋体" w:eastAsia="宋体" w:hAnsi="Times New Roman" w:hint="eastAsia"/>
          <w:color w:val="000000"/>
        </w:rPr>
        <w:t>在</w:t>
      </w:r>
      <w:r w:rsidRPr="007E7C93">
        <w:rPr>
          <w:rFonts w:ascii="宋体" w:eastAsia="宋体" w:hAnsi="Times New Roman"/>
          <w:color w:val="000000"/>
        </w:rPr>
        <w:t>2025年加入方达之前，Rahman先生在一家印尼律师事务所执业近九年，专注于公司法和商法领域，包括房地产、银行与金融以及自然资源领域。他还曾在CFLD Indonesia（上交所上市公司华夏幸福基业股份有限公司在印尼的子公司）担任过八年的总法律顾问。Rahman先生为印度尼西亚共和国执业律师。</w:t>
      </w:r>
    </w:p>
    <w:p w14:paraId="5AE3AB8F" w14:textId="77777777" w:rsidR="007E7C93" w:rsidRDefault="007E7C93" w:rsidP="007E7C93">
      <w:pPr>
        <w:pStyle w:val="af5"/>
        <w:spacing w:after="0" w:line="480" w:lineRule="auto"/>
        <w:rPr>
          <w:rFonts w:ascii="宋体" w:eastAsia="宋体" w:hAnsi="宋体"/>
          <w:b/>
          <w:sz w:val="24"/>
        </w:rPr>
      </w:pPr>
      <w:r w:rsidRPr="007E7C93">
        <w:rPr>
          <w:rFonts w:ascii="宋体" w:eastAsia="宋体" w:hAnsi="宋体" w:hint="eastAsia"/>
          <w:b/>
          <w:sz w:val="24"/>
        </w:rPr>
        <w:t>其他信息</w:t>
      </w:r>
    </w:p>
    <w:p w14:paraId="3C48CD63" w14:textId="77777777" w:rsidR="007E7C93" w:rsidRDefault="007E7C93" w:rsidP="007E7C93">
      <w:pPr>
        <w:pStyle w:val="af5"/>
        <w:spacing w:after="0" w:line="480" w:lineRule="auto"/>
        <w:rPr>
          <w:rFonts w:ascii="宋体" w:eastAsia="宋体" w:hAnsi="宋体"/>
          <w:b/>
          <w:sz w:val="24"/>
        </w:rPr>
      </w:pPr>
      <w:r w:rsidRPr="007E7C93">
        <w:rPr>
          <w:rFonts w:ascii="宋体" w:eastAsia="宋体" w:hAnsi="宋体" w:hint="eastAsia"/>
          <w:b/>
          <w:sz w:val="24"/>
        </w:rPr>
        <w:t>获奖情况</w:t>
      </w:r>
    </w:p>
    <w:p w14:paraId="22F3A7F1" w14:textId="77777777" w:rsidR="007E7C93" w:rsidRDefault="007E7C93" w:rsidP="007E7C93">
      <w:pPr>
        <w:pStyle w:val="af5"/>
        <w:numPr>
          <w:ilvl w:val="0"/>
          <w:numId w:val="28"/>
        </w:numPr>
        <w:spacing w:before="120"/>
        <w:ind w:left="690" w:hanging="240"/>
        <w:rPr>
          <w:rFonts w:ascii="宋体" w:eastAsia="宋体" w:hAnsi="Times New Roman"/>
          <w:color w:val="000000"/>
        </w:rPr>
      </w:pPr>
      <w:r w:rsidRPr="007E7C93">
        <w:rPr>
          <w:rFonts w:ascii="宋体" w:eastAsia="宋体" w:hAnsi="Times New Roman"/>
          <w:color w:val="000000"/>
        </w:rPr>
        <w:t>荣登</w:t>
      </w:r>
      <w:r w:rsidRPr="007E7C93">
        <w:rPr>
          <w:rFonts w:ascii="宋体" w:eastAsia="宋体" w:hAnsi="Times New Roman"/>
          <w:color w:val="000000"/>
        </w:rPr>
        <w:t>“</w:t>
      </w:r>
      <w:r w:rsidRPr="007E7C93">
        <w:rPr>
          <w:rFonts w:ascii="宋体" w:eastAsia="宋体" w:hAnsi="Times New Roman"/>
          <w:color w:val="000000"/>
        </w:rPr>
        <w:t>法律500强-2024年度东南亚总法律顾问榜单</w:t>
      </w:r>
      <w:r w:rsidRPr="007E7C93">
        <w:rPr>
          <w:rFonts w:ascii="宋体" w:eastAsia="宋体" w:hAnsi="Times New Roman"/>
          <w:color w:val="000000"/>
        </w:rPr>
        <w:t>”</w:t>
      </w:r>
      <w:r w:rsidRPr="007E7C93">
        <w:rPr>
          <w:rFonts w:ascii="宋体" w:eastAsia="宋体" w:hAnsi="Times New Roman"/>
          <w:color w:val="000000"/>
        </w:rPr>
        <w:t xml:space="preserve"> </w:t>
      </w:r>
    </w:p>
    <w:p w14:paraId="4F0A196B" w14:textId="27E1A4C9" w:rsidR="00A46A04" w:rsidRPr="007E7C93" w:rsidRDefault="007E7C93" w:rsidP="007E7C93">
      <w:pPr>
        <w:pStyle w:val="af5"/>
        <w:numPr>
          <w:ilvl w:val="0"/>
          <w:numId w:val="29"/>
        </w:numPr>
        <w:spacing w:before="120"/>
        <w:ind w:left="690" w:hanging="240"/>
        <w:rPr>
          <w:rFonts w:ascii="宋体" w:eastAsia="宋体" w:hAnsi="Times New Roman"/>
          <w:color w:val="000000"/>
        </w:rPr>
      </w:pPr>
      <w:r w:rsidRPr="007E7C93">
        <w:rPr>
          <w:rFonts w:ascii="宋体" w:eastAsia="宋体" w:hAnsi="Times New Roman"/>
          <w:color w:val="000000"/>
        </w:rPr>
        <w:t>荣获</w:t>
      </w:r>
      <w:r w:rsidRPr="007E7C93">
        <w:rPr>
          <w:rFonts w:ascii="宋体" w:eastAsia="宋体" w:hAnsi="Times New Roman"/>
          <w:color w:val="000000"/>
        </w:rPr>
        <w:t>“</w:t>
      </w:r>
      <w:r w:rsidRPr="007E7C93">
        <w:rPr>
          <w:rFonts w:ascii="宋体" w:eastAsia="宋体" w:hAnsi="Times New Roman"/>
          <w:color w:val="000000"/>
        </w:rPr>
        <w:t>《亚洲法律杂志》(Asian Legal Business)印度尼西亚法律大奖-2017年度房地产与建设工程法务团队大奖</w:t>
      </w:r>
      <w:r w:rsidRPr="007E7C93">
        <w:rPr>
          <w:rFonts w:ascii="宋体" w:eastAsia="宋体" w:hAnsi="Times New Roman"/>
          <w:color w:val="000000"/>
        </w:rPr>
        <w:t>”</w:t>
      </w:r>
      <w:r w:rsidRPr="007E7C93">
        <w:rPr>
          <w:rFonts w:ascii="宋体" w:eastAsia="宋体" w:hAnsi="Times New Roman"/>
          <w:color w:val="000000"/>
        </w:rPr>
        <w:t xml:space="preserve"> </w:t>
      </w:r>
    </w:p>
    <w:sectPr w:rsidR="00A46A04" w:rsidRPr="007E7C9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70A0A"/>
    <w:multiLevelType w:val="singleLevel"/>
    <w:tmpl w:val="E422979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C682670"/>
    <w:multiLevelType w:val="singleLevel"/>
    <w:tmpl w:val="CDBADDE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8F0D6A"/>
    <w:multiLevelType w:val="singleLevel"/>
    <w:tmpl w:val="07220BA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3A12C17"/>
    <w:multiLevelType w:val="singleLevel"/>
    <w:tmpl w:val="E7B6DCD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577735B"/>
    <w:multiLevelType w:val="singleLevel"/>
    <w:tmpl w:val="F8CC6E0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6414212"/>
    <w:multiLevelType w:val="singleLevel"/>
    <w:tmpl w:val="2CF633A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6652FFB"/>
    <w:multiLevelType w:val="singleLevel"/>
    <w:tmpl w:val="642096D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73D7610"/>
    <w:multiLevelType w:val="singleLevel"/>
    <w:tmpl w:val="506A5EE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77B5C0F"/>
    <w:multiLevelType w:val="singleLevel"/>
    <w:tmpl w:val="4002DB1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80C09ED"/>
    <w:multiLevelType w:val="singleLevel"/>
    <w:tmpl w:val="E55A426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98762C8"/>
    <w:multiLevelType w:val="singleLevel"/>
    <w:tmpl w:val="D56C416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04C0162"/>
    <w:multiLevelType w:val="singleLevel"/>
    <w:tmpl w:val="2CF633A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368556A"/>
    <w:multiLevelType w:val="singleLevel"/>
    <w:tmpl w:val="126E445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4415008"/>
    <w:multiLevelType w:val="singleLevel"/>
    <w:tmpl w:val="E11A4FF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24247B"/>
    <w:multiLevelType w:val="singleLevel"/>
    <w:tmpl w:val="995A8F0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45FB0188"/>
    <w:multiLevelType w:val="singleLevel"/>
    <w:tmpl w:val="3CF04AA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74D1A5E"/>
    <w:multiLevelType w:val="singleLevel"/>
    <w:tmpl w:val="72C804D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A711DDF"/>
    <w:multiLevelType w:val="singleLevel"/>
    <w:tmpl w:val="D4F8A96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D7E2FAF"/>
    <w:multiLevelType w:val="singleLevel"/>
    <w:tmpl w:val="6E78892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DC00080"/>
    <w:multiLevelType w:val="singleLevel"/>
    <w:tmpl w:val="E57440B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DD05E34"/>
    <w:multiLevelType w:val="singleLevel"/>
    <w:tmpl w:val="1762946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5172509"/>
    <w:multiLevelType w:val="singleLevel"/>
    <w:tmpl w:val="FF40068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8DE06F1"/>
    <w:multiLevelType w:val="singleLevel"/>
    <w:tmpl w:val="71CC374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F5D1FD1"/>
    <w:multiLevelType w:val="singleLevel"/>
    <w:tmpl w:val="5B2E664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1CD16D0"/>
    <w:multiLevelType w:val="singleLevel"/>
    <w:tmpl w:val="4FD2986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42A3A0A"/>
    <w:multiLevelType w:val="singleLevel"/>
    <w:tmpl w:val="D344883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D3A7688"/>
    <w:multiLevelType w:val="singleLevel"/>
    <w:tmpl w:val="2FBEFB18"/>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6"/>
  </w:num>
  <w:num w:numId="3">
    <w:abstractNumId w:val="2"/>
  </w:num>
  <w:num w:numId="4">
    <w:abstractNumId w:val="7"/>
  </w:num>
  <w:num w:numId="5">
    <w:abstractNumId w:val="0"/>
  </w:num>
  <w:num w:numId="6">
    <w:abstractNumId w:val="19"/>
  </w:num>
  <w:num w:numId="7">
    <w:abstractNumId w:val="20"/>
  </w:num>
  <w:num w:numId="8">
    <w:abstractNumId w:val="18"/>
  </w:num>
  <w:num w:numId="9">
    <w:abstractNumId w:val="26"/>
  </w:num>
  <w:num w:numId="10">
    <w:abstractNumId w:val="17"/>
  </w:num>
  <w:num w:numId="11">
    <w:abstractNumId w:val="15"/>
  </w:num>
  <w:num w:numId="12">
    <w:abstractNumId w:val="22"/>
  </w:num>
  <w:num w:numId="13">
    <w:abstractNumId w:val="28"/>
  </w:num>
  <w:num w:numId="14">
    <w:abstractNumId w:val="14"/>
  </w:num>
  <w:num w:numId="15">
    <w:abstractNumId w:val="25"/>
  </w:num>
  <w:num w:numId="16">
    <w:abstractNumId w:val="24"/>
  </w:num>
  <w:num w:numId="17">
    <w:abstractNumId w:val="27"/>
  </w:num>
  <w:num w:numId="18">
    <w:abstractNumId w:val="6"/>
  </w:num>
  <w:num w:numId="19">
    <w:abstractNumId w:val="1"/>
  </w:num>
  <w:num w:numId="20">
    <w:abstractNumId w:val="13"/>
  </w:num>
  <w:num w:numId="21">
    <w:abstractNumId w:val="10"/>
  </w:num>
  <w:num w:numId="22">
    <w:abstractNumId w:val="9"/>
  </w:num>
  <w:num w:numId="23">
    <w:abstractNumId w:val="23"/>
  </w:num>
  <w:num w:numId="24">
    <w:abstractNumId w:val="21"/>
  </w:num>
  <w:num w:numId="25">
    <w:abstractNumId w:val="8"/>
  </w:num>
  <w:num w:numId="26">
    <w:abstractNumId w:val="4"/>
  </w:num>
  <w:num w:numId="27">
    <w:abstractNumId w:val="3"/>
  </w:num>
  <w:num w:numId="28">
    <w:abstractNumId w:val="12"/>
  </w:num>
  <w:num w:numId="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7E7C93"/>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E7C93"/>
    <w:pPr>
      <w:spacing w:after="120"/>
    </w:pPr>
  </w:style>
  <w:style w:type="character" w:customStyle="1" w:styleId="af6">
    <w:name w:val="正文文本 字符"/>
    <w:basedOn w:val="a0"/>
    <w:link w:val="af5"/>
    <w:uiPriority w:val="99"/>
    <w:rsid w:val="007E7C9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A8648A-153E-4097-8AB9-4473F73E0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291</Words>
  <Characters>1659</Characters>
  <Application>Microsoft Office Word</Application>
  <DocSecurity>0</DocSecurity>
  <Lines>13</Lines>
  <Paragraphs>3</Paragraphs>
  <ScaleCrop>false</ScaleCrop>
  <Company/>
  <LinksUpToDate>false</LinksUpToDate>
  <CharactersWithSpaces>1947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2026-10-17T07:14:00Z</dcterms:created>
  <dcterms:modified xsi:type="dcterms:W3CDTF">2026-10-17T07:14:00Z</dcterms:modified>
</cp:coreProperties>
</file>