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5BD26E5" w:rsidR="0049405C" w:rsidRPr="00187BAA" w:rsidRDefault="001F4CCD" w:rsidP="001F4CCD">
            <w:pPr>
              <w:spacing w:line="720" w:lineRule="auto"/>
              <w:rPr>
                <w:rFonts w:ascii="宋体" w:eastAsia="宋体" w:hAnsi="宋体"/>
                <w:color w:val="545551"/>
              </w:rPr>
            </w:pPr>
            <w:bookmarkStart w:id="0" w:name="xingming"/>
            <w:bookmarkStart w:id="1" w:name="_GoBack"/>
            <w:bookmarkEnd w:id="1"/>
            <w:r w:rsidRPr="001F4CCD">
              <w:rPr>
                <w:rFonts w:ascii="宋体" w:eastAsia="宋体" w:hAnsi="Times New Roman" w:hint="eastAsia"/>
                <w:b/>
                <w:color w:val="000000"/>
                <w:sz w:val="48"/>
              </w:rPr>
              <w:t>卢柏康</w:t>
            </w:r>
            <w:bookmarkEnd w:id="0"/>
          </w:p>
          <w:p w14:paraId="706EB16B" w14:textId="1489CA5A" w:rsidR="0049405C" w:rsidRPr="00187BAA" w:rsidRDefault="001F4CCD" w:rsidP="001F4CCD">
            <w:pPr>
              <w:spacing w:line="360" w:lineRule="auto"/>
              <w:rPr>
                <w:rFonts w:ascii="宋体" w:eastAsia="宋体" w:hAnsi="宋体"/>
                <w:b/>
                <w:bCs/>
                <w:color w:val="545551"/>
              </w:rPr>
            </w:pPr>
            <w:bookmarkStart w:id="2" w:name="didian"/>
            <w:r w:rsidRPr="001F4CCD">
              <w:rPr>
                <w:rFonts w:ascii="宋体" w:eastAsia="宋体" w:hAnsi="Times New Roman" w:hint="eastAsia"/>
                <w:b/>
                <w:bCs/>
                <w:color w:val="000000"/>
              </w:rPr>
              <w:t>资深律师·香港</w:t>
            </w:r>
            <w:bookmarkEnd w:id="2"/>
          </w:p>
          <w:p w14:paraId="6199424A" w14:textId="0524AA27" w:rsidR="0049405C" w:rsidRPr="00187BAA" w:rsidRDefault="001F4CCD" w:rsidP="001F4CCD">
            <w:pPr>
              <w:spacing w:line="360" w:lineRule="auto"/>
              <w:rPr>
                <w:rFonts w:ascii="宋体" w:eastAsia="宋体" w:hAnsi="宋体"/>
                <w:color w:val="545551"/>
              </w:rPr>
            </w:pPr>
            <w:bookmarkStart w:id="3" w:name="dianhua"/>
            <w:r w:rsidRPr="001F4CCD">
              <w:rPr>
                <w:rFonts w:ascii="宋体" w:eastAsia="宋体" w:hAnsi="Times New Roman"/>
                <w:color w:val="000000"/>
              </w:rPr>
              <w:t>+852 3749 1166</w:t>
            </w:r>
            <w:bookmarkEnd w:id="3"/>
          </w:p>
          <w:p w14:paraId="4F910ACA" w14:textId="6AA04A45" w:rsidR="0049405C" w:rsidRPr="00187BAA" w:rsidRDefault="001F4CCD" w:rsidP="001F4CCD">
            <w:pPr>
              <w:spacing w:line="360" w:lineRule="auto"/>
              <w:rPr>
                <w:rFonts w:ascii="宋体" w:eastAsia="宋体" w:hAnsi="宋体"/>
                <w:color w:val="000000"/>
              </w:rPr>
            </w:pPr>
            <w:bookmarkStart w:id="4" w:name="youxiang"/>
            <w:r w:rsidRPr="001F4CCD">
              <w:rPr>
                <w:rFonts w:ascii="宋体" w:eastAsia="宋体" w:hAnsi="Times New Roman"/>
                <w:color w:val="000000"/>
              </w:rPr>
              <w:t>bryan.lo@fangdalaw.com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DF53FF8" w:rsidR="0049405C" w:rsidRPr="00187BAA" w:rsidRDefault="001F4CC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4A3E66A" wp14:editId="277CE71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E8C8EB3" w:rsidR="009465FB" w:rsidRPr="00187BAA" w:rsidRDefault="001F4CCD" w:rsidP="007177F3">
            <w:pPr>
              <w:rPr>
                <w:rFonts w:ascii="宋体" w:eastAsia="宋体" w:hAnsi="宋体"/>
                <w:color w:val="000000"/>
                <w:szCs w:val="21"/>
              </w:rPr>
            </w:pPr>
            <w:bookmarkStart w:id="6" w:name="zhiyelingyu"/>
            <w:r w:rsidRPr="001F4CCD">
              <w:rPr>
                <w:rFonts w:ascii="宋体" w:eastAsia="宋体" w:hAnsi="Times New Roman" w:hint="eastAsia"/>
                <w:color w:val="000000"/>
                <w:szCs w:val="21"/>
              </w:rPr>
              <w:t>卢律师定期为知名国际银行和中资银行、金融机构、金融租赁公司、资产管理公司、信用基金、跨国公司和上市公司提供银行金融法律服务，在本地和跨境担保抵押融资交易方面拥有广泛经验，包括涉及中国企业的复杂境内</w:t>
            </w:r>
            <w:r w:rsidRPr="001F4CCD">
              <w:rPr>
                <w:rFonts w:ascii="宋体" w:eastAsia="宋体" w:hAnsi="Times New Roman"/>
                <w:color w:val="000000"/>
                <w:szCs w:val="21"/>
              </w:rPr>
              <w:t>/境外贷款结构（包括银团和双边贷款结构），涵盖一般银行、收购/杠杆融资、上市前融资、房地产项目融资、私有化融资、绿色和可持续金融、结构融资、租赁融资、涉及境外公司债务重组, 抵押执行, 合并收购及一般企业事务。 卢律师也有丰富的企业债务重组经验，并参与了近期众多备受关注的复杂大型中国內地房地产集团企业债务重组项目</w:t>
            </w:r>
            <w:r w:rsidRPr="001F4CCD">
              <w:rPr>
                <w:rFonts w:ascii="宋体" w:eastAsia="宋体" w:hAnsi="Times New Roman" w:hint="eastAsia"/>
                <w:color w:val="000000"/>
                <w:szCs w:val="21"/>
              </w:rPr>
              <w:t>。</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6B79D97" w14:textId="77777777" w:rsidR="001F4CC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1925DF" w14:textId="77777777" w:rsidR="001F4CCD" w:rsidRDefault="001F4CCD" w:rsidP="001F4CCD">
      <w:pPr>
        <w:pStyle w:val="af5"/>
        <w:spacing w:after="0" w:line="480" w:lineRule="auto"/>
        <w:rPr>
          <w:rFonts w:ascii="宋体" w:eastAsia="宋体" w:hAnsi="宋体"/>
          <w:b/>
          <w:sz w:val="24"/>
        </w:rPr>
      </w:pPr>
      <w:r w:rsidRPr="001F4CCD">
        <w:rPr>
          <w:rFonts w:ascii="宋体" w:eastAsia="宋体" w:hAnsi="宋体" w:hint="eastAsia"/>
          <w:b/>
          <w:sz w:val="24"/>
        </w:rPr>
        <w:t>近期代理的主要案件</w:t>
      </w:r>
    </w:p>
    <w:p w14:paraId="07C96B3A" w14:textId="77777777" w:rsidR="001F4CCD" w:rsidRDefault="001F4CCD" w:rsidP="001F4CCD">
      <w:pPr>
        <w:pStyle w:val="af5"/>
        <w:spacing w:before="120"/>
        <w:rPr>
          <w:rFonts w:ascii="宋体" w:eastAsia="宋体" w:hAnsi="Times New Roman"/>
          <w:color w:val="000000"/>
        </w:rPr>
      </w:pPr>
      <w:r w:rsidRPr="001F4CCD">
        <w:rPr>
          <w:rFonts w:ascii="宋体" w:eastAsia="宋体" w:hAnsi="Times New Roman"/>
          <w:color w:val="000000"/>
        </w:rPr>
        <w:t xml:space="preserve"> 融资项目</w:t>
      </w:r>
    </w:p>
    <w:p w14:paraId="329F39BE" w14:textId="77777777" w:rsidR="001F4CCD" w:rsidRDefault="001F4CCD" w:rsidP="001F4CCD">
      <w:pPr>
        <w:pStyle w:val="af5"/>
        <w:numPr>
          <w:ilvl w:val="0"/>
          <w:numId w:val="4"/>
        </w:numPr>
        <w:spacing w:before="120"/>
        <w:ind w:left="690" w:hanging="240"/>
        <w:rPr>
          <w:rFonts w:ascii="宋体" w:eastAsia="宋体" w:hAnsi="Times New Roman"/>
          <w:color w:val="000000"/>
        </w:rPr>
      </w:pPr>
      <w:r w:rsidRPr="001F4CCD">
        <w:rPr>
          <w:rFonts w:ascii="宋体" w:eastAsia="宋体" w:hAnsi="Times New Roman" w:hint="eastAsia"/>
          <w:color w:val="000000"/>
        </w:rPr>
        <w:t>作为一家领先的中国汽车公司作为借款人的法律顾问，参与</w:t>
      </w:r>
      <w:r w:rsidRPr="001F4CCD">
        <w:rPr>
          <w:rFonts w:ascii="宋体" w:eastAsia="宋体" w:hAnsi="Times New Roman"/>
          <w:color w:val="000000"/>
        </w:rPr>
        <w:t>4亿美元的银团绿色和可持续贷款授信，国际银行作为全球协调人和银团代理，融资和/或再融资某些符合条件的绿色项目和/或社会项目。</w:t>
      </w:r>
    </w:p>
    <w:p w14:paraId="5DAF7E22" w14:textId="77777777" w:rsidR="001F4CCD" w:rsidRDefault="001F4CCD" w:rsidP="001F4CCD">
      <w:pPr>
        <w:pStyle w:val="af5"/>
        <w:numPr>
          <w:ilvl w:val="0"/>
          <w:numId w:val="5"/>
        </w:numPr>
        <w:spacing w:before="120"/>
        <w:ind w:left="690" w:hanging="240"/>
        <w:rPr>
          <w:rFonts w:ascii="宋体" w:eastAsia="宋体" w:hAnsi="Times New Roman"/>
          <w:color w:val="000000"/>
        </w:rPr>
      </w:pPr>
      <w:r w:rsidRPr="001F4CCD">
        <w:rPr>
          <w:rFonts w:ascii="宋体" w:eastAsia="宋体" w:hAnsi="Times New Roman" w:hint="eastAsia"/>
          <w:color w:val="000000"/>
        </w:rPr>
        <w:t>作为一家主导银团安排人银行的法律顾问，参与</w:t>
      </w:r>
      <w:r w:rsidRPr="001F4CCD">
        <w:rPr>
          <w:rFonts w:ascii="宋体" w:eastAsia="宋体" w:hAnsi="Times New Roman"/>
          <w:color w:val="000000"/>
        </w:rPr>
        <w:t>3200万美元的离岸定期贷款授信和1.5亿人民币的信用证授信，旨在协助借款人获得中国房地产项目的权益，涉及债权人间协议结构。</w:t>
      </w:r>
    </w:p>
    <w:p w14:paraId="56EC11A8" w14:textId="77777777" w:rsidR="001F4CCD" w:rsidRDefault="001F4CCD" w:rsidP="001F4CCD">
      <w:pPr>
        <w:pStyle w:val="af5"/>
        <w:numPr>
          <w:ilvl w:val="0"/>
          <w:numId w:val="6"/>
        </w:numPr>
        <w:spacing w:before="120"/>
        <w:ind w:left="690" w:hanging="240"/>
        <w:rPr>
          <w:rFonts w:ascii="宋体" w:eastAsia="宋体" w:hAnsi="Times New Roman"/>
          <w:color w:val="000000"/>
        </w:rPr>
      </w:pPr>
      <w:r w:rsidRPr="001F4CCD">
        <w:rPr>
          <w:rFonts w:ascii="宋体" w:eastAsia="宋体" w:hAnsi="Times New Roman" w:hint="eastAsia"/>
          <w:color w:val="000000"/>
        </w:rPr>
        <w:t>作为</w:t>
      </w:r>
      <w:r w:rsidRPr="001F4CCD">
        <w:rPr>
          <w:rFonts w:ascii="宋体" w:eastAsia="宋体" w:hAnsi="Times New Roman"/>
          <w:color w:val="000000"/>
        </w:rPr>
        <w:t>3家主导银团安排人的法律顾问，参与3.5亿美元的银团定期贷款收购融资交易，融资用于收购一家拥有大型金融和商业综合商场的公司股份，交易由备用信用证支持。</w:t>
      </w:r>
    </w:p>
    <w:p w14:paraId="786043E1" w14:textId="77777777" w:rsidR="001F4CCD" w:rsidRDefault="001F4CCD" w:rsidP="001F4CCD">
      <w:pPr>
        <w:pStyle w:val="af5"/>
        <w:numPr>
          <w:ilvl w:val="0"/>
          <w:numId w:val="7"/>
        </w:numPr>
        <w:spacing w:before="120"/>
        <w:ind w:left="690" w:hanging="240"/>
        <w:rPr>
          <w:rFonts w:ascii="宋体" w:eastAsia="宋体" w:hAnsi="Times New Roman"/>
          <w:color w:val="000000"/>
        </w:rPr>
      </w:pPr>
      <w:r w:rsidRPr="001F4CCD">
        <w:rPr>
          <w:rFonts w:ascii="宋体" w:eastAsia="宋体" w:hAnsi="Times New Roman" w:hint="eastAsia"/>
          <w:color w:val="000000"/>
        </w:rPr>
        <w:t>作为借款人的法律顾问，参与</w:t>
      </w:r>
      <w:r w:rsidRPr="001F4CCD">
        <w:rPr>
          <w:rFonts w:ascii="宋体" w:eastAsia="宋体" w:hAnsi="Times New Roman"/>
          <w:color w:val="000000"/>
        </w:rPr>
        <w:t>2.2亿美元的银团定期贷款收购融资交易，用于收购一家拥有大型购物中心的公司的股份。</w:t>
      </w:r>
    </w:p>
    <w:p w14:paraId="26E2D166" w14:textId="77777777" w:rsidR="001F4CCD" w:rsidRDefault="001F4CCD" w:rsidP="001F4CCD">
      <w:pPr>
        <w:pStyle w:val="af5"/>
        <w:numPr>
          <w:ilvl w:val="0"/>
          <w:numId w:val="8"/>
        </w:numPr>
        <w:spacing w:before="120"/>
        <w:ind w:left="690" w:hanging="240"/>
        <w:rPr>
          <w:rFonts w:ascii="宋体" w:eastAsia="宋体" w:hAnsi="Times New Roman"/>
          <w:color w:val="000000"/>
        </w:rPr>
      </w:pPr>
      <w:r w:rsidRPr="001F4CCD">
        <w:rPr>
          <w:rFonts w:ascii="宋体" w:eastAsia="宋体" w:hAnsi="Times New Roman" w:hint="eastAsia"/>
          <w:color w:val="000000"/>
        </w:rPr>
        <w:t>作为非银行金融机构的贷款方的法律顾问，参与</w:t>
      </w:r>
      <w:r w:rsidRPr="001F4CCD">
        <w:rPr>
          <w:rFonts w:ascii="宋体" w:eastAsia="宋体" w:hAnsi="Times New Roman"/>
          <w:color w:val="000000"/>
        </w:rPr>
        <w:t>1亿美元的定期贷款授信，涉及柬埔寨股份质押和柬埔寨土地抵押作为担保。</w:t>
      </w:r>
    </w:p>
    <w:p w14:paraId="7E66B1E0" w14:textId="77777777" w:rsidR="001F4CCD" w:rsidRDefault="001F4CCD" w:rsidP="001F4CCD">
      <w:pPr>
        <w:pStyle w:val="af5"/>
        <w:numPr>
          <w:ilvl w:val="0"/>
          <w:numId w:val="9"/>
        </w:numPr>
        <w:spacing w:before="120"/>
        <w:ind w:left="690" w:hanging="240"/>
        <w:rPr>
          <w:rFonts w:ascii="宋体" w:eastAsia="宋体" w:hAnsi="Times New Roman"/>
          <w:color w:val="000000"/>
        </w:rPr>
      </w:pPr>
      <w:r w:rsidRPr="001F4CCD">
        <w:rPr>
          <w:rFonts w:ascii="宋体" w:eastAsia="宋体" w:hAnsi="Times New Roman" w:hint="eastAsia"/>
          <w:color w:val="000000"/>
        </w:rPr>
        <w:t>作为贷款方的法律顾问，参与</w:t>
      </w:r>
      <w:r w:rsidRPr="001F4CCD">
        <w:rPr>
          <w:rFonts w:ascii="宋体" w:eastAsia="宋体" w:hAnsi="Times New Roman"/>
          <w:color w:val="000000"/>
        </w:rPr>
        <w:t>4200万美元的定期贷款授信收购融资交易，旨在协助借款人将一家在纳斯达克上市的电子商务公司私有化，涉及VIE结构。</w:t>
      </w:r>
    </w:p>
    <w:p w14:paraId="6A78D0DF" w14:textId="77777777" w:rsidR="001F4CCD" w:rsidRDefault="001F4CCD" w:rsidP="001F4CCD">
      <w:pPr>
        <w:pStyle w:val="af5"/>
        <w:numPr>
          <w:ilvl w:val="0"/>
          <w:numId w:val="10"/>
        </w:numPr>
        <w:spacing w:before="120"/>
        <w:ind w:left="690" w:hanging="240"/>
        <w:rPr>
          <w:rFonts w:ascii="宋体" w:eastAsia="宋体" w:hAnsi="Times New Roman"/>
          <w:color w:val="000000"/>
        </w:rPr>
      </w:pPr>
      <w:r w:rsidRPr="001F4CCD">
        <w:rPr>
          <w:rFonts w:ascii="宋体" w:eastAsia="宋体" w:hAnsi="Times New Roman" w:hint="eastAsia"/>
          <w:color w:val="000000"/>
        </w:rPr>
        <w:t>作为</w:t>
      </w:r>
      <w:r w:rsidRPr="001F4CCD">
        <w:rPr>
          <w:rFonts w:ascii="宋体" w:eastAsia="宋体" w:hAnsi="Times New Roman"/>
          <w:color w:val="000000"/>
        </w:rPr>
        <w:t>4家中资银行的法律顾问，参与4.5亿欧元的定期贷款授信，涉及2个分期和超额配售机制，提供给一家证券公司用于再融资其现有贷款，涉及葡萄牙股份质押作为担保。</w:t>
      </w:r>
    </w:p>
    <w:p w14:paraId="277BE461" w14:textId="77777777" w:rsidR="001F4CCD" w:rsidRDefault="001F4CCD" w:rsidP="001F4CCD">
      <w:pPr>
        <w:pStyle w:val="af5"/>
        <w:numPr>
          <w:ilvl w:val="0"/>
          <w:numId w:val="11"/>
        </w:numPr>
        <w:spacing w:before="120"/>
        <w:ind w:left="690" w:hanging="240"/>
        <w:rPr>
          <w:rFonts w:ascii="宋体" w:eastAsia="宋体" w:hAnsi="Times New Roman"/>
          <w:color w:val="000000"/>
        </w:rPr>
      </w:pPr>
      <w:r w:rsidRPr="001F4CCD">
        <w:rPr>
          <w:rFonts w:ascii="宋体" w:eastAsia="宋体" w:hAnsi="Times New Roman" w:hint="eastAsia"/>
          <w:color w:val="000000"/>
        </w:rPr>
        <w:t>作为一家电信公司的发行人的法律顾问，参与</w:t>
      </w:r>
      <w:r w:rsidRPr="001F4CCD">
        <w:rPr>
          <w:rFonts w:ascii="宋体" w:eastAsia="宋体" w:hAnsi="Times New Roman"/>
          <w:color w:val="000000"/>
        </w:rPr>
        <w:t>2.56亿美元债券重组，并协助向债券持有人提供额外的担保转让。</w:t>
      </w:r>
    </w:p>
    <w:p w14:paraId="0AA4003E" w14:textId="77777777" w:rsidR="001F4CCD" w:rsidRDefault="001F4CCD" w:rsidP="001F4CCD">
      <w:pPr>
        <w:pStyle w:val="af5"/>
        <w:numPr>
          <w:ilvl w:val="0"/>
          <w:numId w:val="12"/>
        </w:numPr>
        <w:spacing w:before="120"/>
        <w:ind w:left="690" w:hanging="240"/>
        <w:rPr>
          <w:rFonts w:ascii="宋体" w:eastAsia="宋体" w:hAnsi="Times New Roman"/>
          <w:color w:val="000000"/>
        </w:rPr>
      </w:pPr>
      <w:r w:rsidRPr="001F4CCD">
        <w:rPr>
          <w:rFonts w:ascii="宋体" w:eastAsia="宋体" w:hAnsi="Times New Roman" w:hint="eastAsia"/>
          <w:color w:val="000000"/>
        </w:rPr>
        <w:t>作为一家中资银行的法律顾问，参与</w:t>
      </w:r>
      <w:r w:rsidRPr="001F4CCD">
        <w:rPr>
          <w:rFonts w:ascii="宋体" w:eastAsia="宋体" w:hAnsi="Times New Roman"/>
          <w:color w:val="000000"/>
        </w:rPr>
        <w:t xml:space="preserve">9.8亿港元的担保定期贷款授信，授予一家香港上市公司，涉及德国公司股份作为担保。   </w:t>
      </w:r>
      <w:r w:rsidRPr="001F4CCD">
        <w:rPr>
          <w:rFonts w:ascii="宋体" w:eastAsia="宋体" w:hAnsi="Times New Roman"/>
          <w:color w:val="000000"/>
        </w:rPr>
        <w:t> </w:t>
      </w:r>
      <w:r w:rsidRPr="001F4CCD">
        <w:rPr>
          <w:rFonts w:ascii="宋体" w:eastAsia="宋体" w:hAnsi="Times New Roman"/>
          <w:color w:val="000000"/>
        </w:rPr>
        <w:t xml:space="preserve"> * 包括加入方达律师事务所前的交易</w:t>
      </w:r>
    </w:p>
    <w:p w14:paraId="3DC4CA07" w14:textId="77777777" w:rsidR="001F4CCD" w:rsidRDefault="001F4CCD" w:rsidP="001F4CCD">
      <w:pPr>
        <w:pStyle w:val="af5"/>
        <w:spacing w:before="120"/>
        <w:rPr>
          <w:rFonts w:ascii="宋体" w:eastAsia="宋体" w:hAnsi="Times New Roman"/>
          <w:color w:val="000000"/>
        </w:rPr>
      </w:pPr>
      <w:r w:rsidRPr="001F4CCD">
        <w:rPr>
          <w:rFonts w:ascii="宋体" w:eastAsia="宋体" w:hAnsi="Times New Roman" w:hint="eastAsia"/>
          <w:color w:val="000000"/>
        </w:rPr>
        <w:t>债务重组</w:t>
      </w:r>
    </w:p>
    <w:p w14:paraId="41BEA2FD" w14:textId="77777777" w:rsidR="001F4CCD" w:rsidRDefault="001F4CCD" w:rsidP="001F4CCD">
      <w:pPr>
        <w:pStyle w:val="af5"/>
        <w:numPr>
          <w:ilvl w:val="0"/>
          <w:numId w:val="13"/>
        </w:numPr>
        <w:spacing w:before="120"/>
        <w:ind w:left="690" w:hanging="240"/>
        <w:rPr>
          <w:rFonts w:ascii="宋体" w:eastAsia="宋体" w:hAnsi="Times New Roman"/>
          <w:color w:val="000000"/>
        </w:rPr>
      </w:pPr>
      <w:r w:rsidRPr="001F4CCD">
        <w:rPr>
          <w:rFonts w:ascii="宋体" w:eastAsia="宋体" w:hAnsi="Times New Roman" w:hint="eastAsia"/>
          <w:color w:val="000000"/>
        </w:rPr>
        <w:t>作为一家香港上市的中国內地房地产开发商的法律顾问，参与其</w:t>
      </w:r>
      <w:r w:rsidRPr="001F4CCD">
        <w:rPr>
          <w:rFonts w:ascii="宋体" w:eastAsia="宋体" w:hAnsi="Times New Roman"/>
          <w:color w:val="000000"/>
        </w:rPr>
        <w:t>102亿美元离岸债务的重组。该复杂交易通过香港的法庭认许的债务偿还安排 (scheme of arrangement) 实施，并于2023年10月获得批准，同时在美国纽约南区地方法院进行第15章承认程序。重组于2023年11月生效，是一项具有里程碑意义的交易。这是中国內地房地产集团完成的最大的离岸重组项目，并在该领域的最近离岸债务的重组方案中实现了最高的支持率和最高的去杠杆化比例。该交易被IFLR亚太奖2024评为</w:t>
      </w:r>
      <w:r w:rsidRPr="001F4CCD">
        <w:rPr>
          <w:rFonts w:ascii="宋体" w:eastAsia="宋体" w:hAnsi="Times New Roman"/>
          <w:color w:val="000000"/>
        </w:rPr>
        <w:t>“</w:t>
      </w:r>
      <w:r w:rsidRPr="001F4CCD">
        <w:rPr>
          <w:rFonts w:ascii="宋体" w:eastAsia="宋体" w:hAnsi="Times New Roman"/>
          <w:color w:val="000000"/>
        </w:rPr>
        <w:t>年度重组交易</w:t>
      </w:r>
      <w:r w:rsidRPr="001F4CCD">
        <w:rPr>
          <w:rFonts w:ascii="宋体" w:eastAsia="宋体" w:hAnsi="Times New Roman"/>
          <w:color w:val="000000"/>
        </w:rPr>
        <w:t>”</w:t>
      </w:r>
      <w:r w:rsidRPr="001F4CCD">
        <w:rPr>
          <w:rFonts w:ascii="宋体" w:eastAsia="宋体" w:hAnsi="Times New Roman"/>
          <w:color w:val="000000"/>
        </w:rPr>
        <w:t>，并在国际融资评论的IFR奖2023中获得</w:t>
      </w:r>
      <w:r w:rsidRPr="001F4CCD">
        <w:rPr>
          <w:rFonts w:ascii="宋体" w:eastAsia="宋体" w:hAnsi="Times New Roman"/>
          <w:color w:val="000000"/>
        </w:rPr>
        <w:t>“</w:t>
      </w:r>
      <w:r w:rsidRPr="001F4CCD">
        <w:rPr>
          <w:rFonts w:ascii="宋体" w:eastAsia="宋体" w:hAnsi="Times New Roman"/>
          <w:color w:val="000000"/>
        </w:rPr>
        <w:t>亚太重组</w:t>
      </w:r>
      <w:r w:rsidRPr="001F4CCD">
        <w:rPr>
          <w:rFonts w:ascii="宋体" w:eastAsia="宋体" w:hAnsi="Times New Roman"/>
          <w:color w:val="000000"/>
        </w:rPr>
        <w:t>”</w:t>
      </w:r>
      <w:r w:rsidRPr="001F4CCD">
        <w:rPr>
          <w:rFonts w:ascii="宋体" w:eastAsia="宋体" w:hAnsi="Times New Roman"/>
          <w:color w:val="000000"/>
        </w:rPr>
        <w:t>奖、IFR亚太奖2023中的</w:t>
      </w:r>
      <w:r w:rsidRPr="001F4CCD">
        <w:rPr>
          <w:rFonts w:ascii="宋体" w:eastAsia="宋体" w:hAnsi="Times New Roman"/>
          <w:color w:val="000000"/>
        </w:rPr>
        <w:t>“</w:t>
      </w:r>
      <w:r w:rsidRPr="001F4CCD">
        <w:rPr>
          <w:rFonts w:ascii="宋体" w:eastAsia="宋体" w:hAnsi="Times New Roman"/>
          <w:color w:val="000000"/>
        </w:rPr>
        <w:t>重组交易</w:t>
      </w:r>
      <w:r w:rsidRPr="001F4CCD">
        <w:rPr>
          <w:rFonts w:ascii="宋体" w:eastAsia="宋体" w:hAnsi="Times New Roman"/>
          <w:color w:val="000000"/>
        </w:rPr>
        <w:t>”</w:t>
      </w:r>
      <w:r w:rsidRPr="001F4CCD">
        <w:rPr>
          <w:rFonts w:ascii="宋体" w:eastAsia="宋体" w:hAnsi="Times New Roman"/>
          <w:color w:val="000000"/>
        </w:rPr>
        <w:t>奖以及FT创新律师亚太奖2024中的</w:t>
      </w:r>
      <w:r w:rsidRPr="001F4CCD">
        <w:rPr>
          <w:rFonts w:ascii="宋体" w:eastAsia="宋体" w:hAnsi="Times New Roman"/>
          <w:color w:val="000000"/>
        </w:rPr>
        <w:t>“</w:t>
      </w:r>
      <w:r w:rsidRPr="001F4CCD">
        <w:rPr>
          <w:rFonts w:ascii="宋体" w:eastAsia="宋体" w:hAnsi="Times New Roman"/>
          <w:color w:val="000000"/>
        </w:rPr>
        <w:t>重组创新律师</w:t>
      </w:r>
      <w:r w:rsidRPr="001F4CCD">
        <w:rPr>
          <w:rFonts w:ascii="宋体" w:eastAsia="宋体" w:hAnsi="Times New Roman"/>
          <w:color w:val="000000"/>
        </w:rPr>
        <w:t>”</w:t>
      </w:r>
      <w:r w:rsidRPr="001F4CCD">
        <w:rPr>
          <w:rFonts w:ascii="宋体" w:eastAsia="宋体" w:hAnsi="Times New Roman"/>
          <w:color w:val="000000"/>
        </w:rPr>
        <w:t>奖。</w:t>
      </w:r>
    </w:p>
    <w:p w14:paraId="229BCE5F" w14:textId="77777777" w:rsidR="001F4CCD" w:rsidRDefault="001F4CCD" w:rsidP="001F4CCD">
      <w:pPr>
        <w:pStyle w:val="af5"/>
        <w:numPr>
          <w:ilvl w:val="0"/>
          <w:numId w:val="14"/>
        </w:numPr>
        <w:spacing w:before="120"/>
        <w:ind w:left="690" w:hanging="240"/>
        <w:rPr>
          <w:rFonts w:ascii="宋体" w:eastAsia="宋体" w:hAnsi="Times New Roman"/>
          <w:color w:val="000000"/>
        </w:rPr>
      </w:pPr>
      <w:r w:rsidRPr="001F4CCD">
        <w:rPr>
          <w:rFonts w:ascii="宋体" w:eastAsia="宋体" w:hAnsi="Times New Roman" w:hint="eastAsia"/>
          <w:color w:val="000000"/>
        </w:rPr>
        <w:t>作为一家香港上市的中国內地房地产开发商的法律顾问，成功完成（</w:t>
      </w:r>
      <w:r w:rsidRPr="001F4CCD">
        <w:rPr>
          <w:rFonts w:ascii="宋体" w:eastAsia="宋体" w:hAnsi="Times New Roman"/>
          <w:color w:val="000000"/>
        </w:rPr>
        <w:t>i）103亿港元的高级贷款授信，以替代其原有的银团项目贷款授信，以及（ii）约11亿港元和相当于7700万美元的次级贷款授信，以替代集团其他成员借入的某些现有贷款，这些贷款均由新加坡银行（作为安排人）提供。该交易旨在促进香港房地产项目的持续建设，这是集团最有价值的境外房地产项目之一。该交易被《中国商业法律杂志》评为</w:t>
      </w:r>
      <w:r w:rsidRPr="001F4CCD">
        <w:rPr>
          <w:rFonts w:ascii="宋体" w:eastAsia="宋体" w:hAnsi="Times New Roman"/>
          <w:color w:val="000000"/>
        </w:rPr>
        <w:t>“</w:t>
      </w:r>
      <w:r w:rsidRPr="001F4CCD">
        <w:rPr>
          <w:rFonts w:ascii="宋体" w:eastAsia="宋体" w:hAnsi="Times New Roman"/>
          <w:color w:val="000000"/>
        </w:rPr>
        <w:t>2022年度交易</w:t>
      </w:r>
      <w:r w:rsidRPr="001F4CCD">
        <w:rPr>
          <w:rFonts w:ascii="宋体" w:eastAsia="宋体" w:hAnsi="Times New Roman"/>
          <w:color w:val="000000"/>
        </w:rPr>
        <w:t>”</w:t>
      </w:r>
      <w:r w:rsidRPr="001F4CCD">
        <w:rPr>
          <w:rFonts w:ascii="宋体" w:eastAsia="宋体" w:hAnsi="Times New Roman"/>
          <w:color w:val="000000"/>
        </w:rPr>
        <w:t>，并入围IFLR亚太奖2023的</w:t>
      </w:r>
      <w:r w:rsidRPr="001F4CCD">
        <w:rPr>
          <w:rFonts w:ascii="宋体" w:eastAsia="宋体" w:hAnsi="Times New Roman"/>
          <w:color w:val="000000"/>
        </w:rPr>
        <w:t>“</w:t>
      </w:r>
      <w:r w:rsidRPr="001F4CCD">
        <w:rPr>
          <w:rFonts w:ascii="宋体" w:eastAsia="宋体" w:hAnsi="Times New Roman"/>
          <w:color w:val="000000"/>
        </w:rPr>
        <w:t>年度交易：贷款</w:t>
      </w:r>
      <w:r w:rsidRPr="001F4CCD">
        <w:rPr>
          <w:rFonts w:ascii="宋体" w:eastAsia="宋体" w:hAnsi="Times New Roman"/>
          <w:color w:val="000000"/>
        </w:rPr>
        <w:t>”</w:t>
      </w:r>
      <w:r w:rsidRPr="001F4CCD">
        <w:rPr>
          <w:rFonts w:ascii="宋体" w:eastAsia="宋体" w:hAnsi="Times New Roman"/>
          <w:color w:val="000000"/>
        </w:rPr>
        <w:t>。</w:t>
      </w:r>
    </w:p>
    <w:p w14:paraId="21DB2454" w14:textId="77777777" w:rsidR="001F4CCD" w:rsidRDefault="001F4CCD" w:rsidP="001F4CCD">
      <w:pPr>
        <w:pStyle w:val="af5"/>
        <w:numPr>
          <w:ilvl w:val="0"/>
          <w:numId w:val="15"/>
        </w:numPr>
        <w:spacing w:before="120"/>
        <w:ind w:left="690" w:hanging="240"/>
        <w:rPr>
          <w:rFonts w:ascii="宋体" w:eastAsia="宋体" w:hAnsi="Times New Roman"/>
          <w:color w:val="000000"/>
        </w:rPr>
      </w:pPr>
      <w:r w:rsidRPr="001F4CCD">
        <w:rPr>
          <w:rFonts w:ascii="宋体" w:eastAsia="宋体" w:hAnsi="Times New Roman" w:hint="eastAsia"/>
          <w:color w:val="000000"/>
        </w:rPr>
        <w:t>作为一家中国內地房地产开发商的法律顾问，成功重组其</w:t>
      </w:r>
      <w:r w:rsidRPr="001F4CCD">
        <w:rPr>
          <w:rFonts w:ascii="宋体" w:eastAsia="宋体" w:hAnsi="Times New Roman"/>
          <w:color w:val="000000"/>
        </w:rPr>
        <w:t>12亿美元的离岸债务，交易于2024年3月完成。</w:t>
      </w:r>
    </w:p>
    <w:p w14:paraId="14EAA75A" w14:textId="77777777" w:rsidR="001F4CCD" w:rsidRDefault="001F4CCD" w:rsidP="001F4CCD">
      <w:pPr>
        <w:pStyle w:val="af5"/>
        <w:numPr>
          <w:ilvl w:val="0"/>
          <w:numId w:val="16"/>
        </w:numPr>
        <w:spacing w:before="120"/>
        <w:ind w:left="690" w:hanging="240"/>
        <w:rPr>
          <w:rFonts w:ascii="宋体" w:eastAsia="宋体" w:hAnsi="Times New Roman"/>
          <w:color w:val="000000"/>
        </w:rPr>
      </w:pPr>
      <w:r w:rsidRPr="001F4CCD">
        <w:rPr>
          <w:rFonts w:ascii="宋体" w:eastAsia="宋体" w:hAnsi="Times New Roman" w:hint="eastAsia"/>
          <w:color w:val="000000"/>
        </w:rPr>
        <w:t>参与代表其它大型香港上市的中国內地房地产发行人，包括融创中国控股有限公司、中梁控股集团有限公司、碧桂园控股有限公司、中国恒大集团、龙光集团有限公司、合景泰富集团控股有限公司、广州富力地产股份有限公司</w:t>
      </w:r>
      <w:r w:rsidRPr="001F4CCD">
        <w:rPr>
          <w:rFonts w:ascii="宋体" w:eastAsia="宋体" w:hAnsi="Times New Roman"/>
          <w:color w:val="000000"/>
        </w:rPr>
        <w:t xml:space="preserve"> 和 世茂集团控股有限公司等，处境外债务重组交易事宜。</w:t>
      </w:r>
    </w:p>
    <w:p w14:paraId="15F652C9" w14:textId="77777777" w:rsidR="001F4CCD" w:rsidRDefault="001F4CCD" w:rsidP="001F4CCD">
      <w:pPr>
        <w:pStyle w:val="af5"/>
        <w:spacing w:before="120"/>
        <w:rPr>
          <w:rFonts w:ascii="宋体" w:eastAsia="宋体" w:hAnsi="Times New Roman"/>
          <w:color w:val="000000"/>
        </w:rPr>
      </w:pPr>
      <w:r>
        <w:rPr>
          <w:rFonts w:ascii="宋体" w:eastAsia="宋体" w:hAnsi="Times New Roman" w:hint="eastAsia"/>
          <w:color w:val="000000"/>
        </w:rPr>
        <w:t>* 包括加入方达律师事务所前的交易</w:t>
      </w:r>
    </w:p>
    <w:p w14:paraId="4D7B1856" w14:textId="77777777" w:rsidR="001F4CCD" w:rsidRDefault="001F4CCD" w:rsidP="001F4CCD">
      <w:pPr>
        <w:pStyle w:val="af5"/>
        <w:spacing w:after="0" w:line="480" w:lineRule="auto"/>
        <w:rPr>
          <w:rFonts w:ascii="宋体" w:eastAsia="宋体" w:hAnsi="宋体"/>
          <w:b/>
          <w:sz w:val="24"/>
        </w:rPr>
      </w:pPr>
      <w:r w:rsidRPr="001F4CCD">
        <w:rPr>
          <w:rFonts w:ascii="宋体" w:eastAsia="宋体" w:hAnsi="宋体" w:hint="eastAsia"/>
          <w:b/>
          <w:sz w:val="24"/>
        </w:rPr>
        <w:t>教育背景</w:t>
      </w:r>
    </w:p>
    <w:p w14:paraId="3EEE376F" w14:textId="77777777" w:rsidR="001F4CCD" w:rsidRDefault="001F4CCD" w:rsidP="001F4CCD">
      <w:pPr>
        <w:pStyle w:val="af5"/>
        <w:numPr>
          <w:ilvl w:val="0"/>
          <w:numId w:val="17"/>
        </w:numPr>
        <w:spacing w:before="120"/>
        <w:ind w:left="690" w:hanging="240"/>
        <w:rPr>
          <w:rFonts w:ascii="宋体" w:eastAsia="宋体" w:hAnsi="Times New Roman"/>
          <w:color w:val="000000"/>
        </w:rPr>
      </w:pPr>
      <w:r w:rsidRPr="001F4CCD">
        <w:rPr>
          <w:rFonts w:ascii="宋体" w:eastAsia="宋体" w:hAnsi="Times New Roman" w:hint="eastAsia"/>
          <w:color w:val="000000"/>
        </w:rPr>
        <w:t>香港大学</w:t>
      </w:r>
      <w:r w:rsidRPr="001F4CCD">
        <w:rPr>
          <w:rFonts w:ascii="宋体" w:eastAsia="宋体" w:hAnsi="Times New Roman"/>
          <w:color w:val="000000"/>
        </w:rPr>
        <w:t xml:space="preserve"> </w:t>
      </w:r>
      <w:r w:rsidRPr="001F4CCD">
        <w:rPr>
          <w:rFonts w:ascii="宋体" w:eastAsia="宋体" w:hAnsi="Times New Roman"/>
          <w:color w:val="000000"/>
        </w:rPr>
        <w:t>–</w:t>
      </w:r>
      <w:r w:rsidRPr="001F4CCD">
        <w:rPr>
          <w:rFonts w:ascii="宋体" w:eastAsia="宋体" w:hAnsi="Times New Roman"/>
          <w:color w:val="000000"/>
        </w:rPr>
        <w:t xml:space="preserve"> 法律专业证书, 2008</w:t>
      </w:r>
    </w:p>
    <w:p w14:paraId="1AC3E486" w14:textId="77777777" w:rsidR="001F4CCD" w:rsidRDefault="001F4CCD" w:rsidP="001F4CCD">
      <w:pPr>
        <w:pStyle w:val="af5"/>
        <w:numPr>
          <w:ilvl w:val="0"/>
          <w:numId w:val="18"/>
        </w:numPr>
        <w:spacing w:before="120"/>
        <w:ind w:left="690" w:hanging="240"/>
        <w:rPr>
          <w:rFonts w:ascii="宋体" w:eastAsia="宋体" w:hAnsi="Times New Roman"/>
          <w:color w:val="000000"/>
        </w:rPr>
      </w:pPr>
      <w:r w:rsidRPr="001F4CCD">
        <w:rPr>
          <w:rFonts w:ascii="宋体" w:eastAsia="宋体" w:hAnsi="Times New Roman" w:hint="eastAsia"/>
          <w:color w:val="000000"/>
        </w:rPr>
        <w:t>考文垂大学</w:t>
      </w:r>
      <w:r w:rsidRPr="001F4CCD">
        <w:rPr>
          <w:rFonts w:ascii="宋体" w:eastAsia="宋体" w:hAnsi="Times New Roman"/>
          <w:color w:val="000000"/>
        </w:rPr>
        <w:t>, 法律学士（荣誉）, 2007</w:t>
      </w:r>
    </w:p>
    <w:p w14:paraId="44977F61" w14:textId="77777777" w:rsidR="001F4CCD" w:rsidRDefault="001F4CCD" w:rsidP="001F4CCD">
      <w:pPr>
        <w:pStyle w:val="af5"/>
        <w:spacing w:after="0" w:line="480" w:lineRule="auto"/>
        <w:rPr>
          <w:rFonts w:ascii="宋体" w:eastAsia="宋体" w:hAnsi="宋体"/>
          <w:b/>
          <w:sz w:val="24"/>
        </w:rPr>
      </w:pPr>
      <w:r w:rsidRPr="001F4CCD">
        <w:rPr>
          <w:rFonts w:ascii="宋体" w:eastAsia="宋体" w:hAnsi="宋体" w:hint="eastAsia"/>
          <w:b/>
          <w:sz w:val="24"/>
        </w:rPr>
        <w:t>执业资格</w:t>
      </w:r>
    </w:p>
    <w:p w14:paraId="4E9512C2" w14:textId="77777777" w:rsidR="001F4CCD" w:rsidRDefault="001F4CCD" w:rsidP="001F4CCD">
      <w:pPr>
        <w:pStyle w:val="af5"/>
        <w:numPr>
          <w:ilvl w:val="0"/>
          <w:numId w:val="19"/>
        </w:numPr>
        <w:spacing w:before="120"/>
        <w:ind w:left="690" w:hanging="240"/>
        <w:rPr>
          <w:rFonts w:ascii="宋体" w:eastAsia="宋体" w:hAnsi="Times New Roman"/>
          <w:color w:val="000000"/>
        </w:rPr>
      </w:pPr>
      <w:r w:rsidRPr="001F4CCD">
        <w:rPr>
          <w:rFonts w:ascii="宋体" w:eastAsia="宋体" w:hAnsi="Times New Roman" w:hint="eastAsia"/>
          <w:color w:val="000000"/>
        </w:rPr>
        <w:t>香港特别行政区执业律师资格</w:t>
      </w:r>
    </w:p>
    <w:p w14:paraId="0C8F4FA3" w14:textId="77777777" w:rsidR="001F4CCD" w:rsidRDefault="001F4CCD" w:rsidP="001F4CCD">
      <w:pPr>
        <w:pStyle w:val="af5"/>
        <w:numPr>
          <w:ilvl w:val="0"/>
          <w:numId w:val="20"/>
        </w:numPr>
        <w:spacing w:before="120"/>
        <w:ind w:left="690" w:hanging="240"/>
        <w:rPr>
          <w:rFonts w:ascii="宋体" w:eastAsia="宋体" w:hAnsi="Times New Roman"/>
          <w:color w:val="000000"/>
        </w:rPr>
      </w:pPr>
      <w:r w:rsidRPr="001F4CCD">
        <w:rPr>
          <w:rFonts w:ascii="宋体" w:eastAsia="宋体" w:hAnsi="Times New Roman" w:hint="eastAsia"/>
          <w:color w:val="000000"/>
        </w:rPr>
        <w:t>英格兰和威尔士执业律师资格</w:t>
      </w:r>
      <w:r w:rsidRPr="001F4CCD">
        <w:rPr>
          <w:rFonts w:ascii="宋体" w:eastAsia="宋体" w:hAnsi="Times New Roman"/>
          <w:color w:val="000000"/>
        </w:rPr>
        <w:t xml:space="preserve"> (非执业)</w:t>
      </w:r>
    </w:p>
    <w:p w14:paraId="0408A640" w14:textId="77777777" w:rsidR="001F4CCD" w:rsidRDefault="001F4CCD" w:rsidP="001F4CCD">
      <w:pPr>
        <w:pStyle w:val="af5"/>
        <w:numPr>
          <w:ilvl w:val="0"/>
          <w:numId w:val="21"/>
        </w:numPr>
        <w:spacing w:before="120"/>
        <w:ind w:left="690" w:hanging="240"/>
        <w:rPr>
          <w:rFonts w:ascii="宋体" w:eastAsia="宋体" w:hAnsi="Times New Roman"/>
          <w:color w:val="000000"/>
        </w:rPr>
      </w:pPr>
      <w:r w:rsidRPr="001F4CCD">
        <w:rPr>
          <w:rFonts w:ascii="宋体" w:eastAsia="宋体" w:hAnsi="Times New Roman" w:hint="eastAsia"/>
          <w:color w:val="000000"/>
        </w:rPr>
        <w:t>香港婚姻监礼律师</w:t>
      </w:r>
    </w:p>
    <w:p w14:paraId="3D94F522" w14:textId="77777777" w:rsidR="001F4CCD" w:rsidRDefault="001F4CCD" w:rsidP="001F4CCD">
      <w:pPr>
        <w:pStyle w:val="af5"/>
        <w:spacing w:after="0" w:line="480" w:lineRule="auto"/>
        <w:rPr>
          <w:rFonts w:ascii="宋体" w:eastAsia="宋体" w:hAnsi="宋体"/>
          <w:b/>
          <w:sz w:val="24"/>
        </w:rPr>
      </w:pPr>
      <w:r w:rsidRPr="001F4CCD">
        <w:rPr>
          <w:rFonts w:ascii="宋体" w:eastAsia="宋体" w:hAnsi="宋体" w:hint="eastAsia"/>
          <w:b/>
          <w:sz w:val="24"/>
        </w:rPr>
        <w:t>工作语言</w:t>
      </w:r>
    </w:p>
    <w:p w14:paraId="638A3F70" w14:textId="77777777" w:rsidR="001F4CCD" w:rsidRDefault="001F4CCD" w:rsidP="001F4CCD">
      <w:pPr>
        <w:pStyle w:val="af5"/>
        <w:numPr>
          <w:ilvl w:val="0"/>
          <w:numId w:val="22"/>
        </w:numPr>
        <w:spacing w:before="120"/>
        <w:ind w:left="690" w:hanging="240"/>
        <w:rPr>
          <w:rFonts w:ascii="宋体" w:eastAsia="宋体" w:hAnsi="Times New Roman"/>
          <w:color w:val="000000"/>
        </w:rPr>
      </w:pPr>
      <w:r w:rsidRPr="001F4CCD">
        <w:rPr>
          <w:rFonts w:ascii="宋体" w:eastAsia="宋体" w:hAnsi="Times New Roman" w:hint="eastAsia"/>
          <w:color w:val="000000"/>
        </w:rPr>
        <w:t>英语</w:t>
      </w:r>
    </w:p>
    <w:p w14:paraId="20F0BF57" w14:textId="77777777" w:rsidR="001F4CCD" w:rsidRDefault="001F4CCD" w:rsidP="001F4CCD">
      <w:pPr>
        <w:pStyle w:val="af5"/>
        <w:numPr>
          <w:ilvl w:val="0"/>
          <w:numId w:val="23"/>
        </w:numPr>
        <w:spacing w:before="120"/>
        <w:ind w:left="690" w:hanging="240"/>
        <w:rPr>
          <w:rFonts w:ascii="宋体" w:eastAsia="宋体" w:hAnsi="Times New Roman"/>
          <w:color w:val="000000"/>
        </w:rPr>
      </w:pPr>
      <w:r w:rsidRPr="001F4CCD">
        <w:rPr>
          <w:rFonts w:ascii="宋体" w:eastAsia="宋体" w:hAnsi="Times New Roman" w:hint="eastAsia"/>
          <w:color w:val="000000"/>
        </w:rPr>
        <w:t>普通话</w:t>
      </w:r>
    </w:p>
    <w:p w14:paraId="15055F5E" w14:textId="77777777" w:rsidR="001F4CCD" w:rsidRDefault="001F4CCD" w:rsidP="001F4CCD">
      <w:pPr>
        <w:pStyle w:val="af5"/>
        <w:numPr>
          <w:ilvl w:val="0"/>
          <w:numId w:val="24"/>
        </w:numPr>
        <w:spacing w:before="120"/>
        <w:ind w:left="690" w:hanging="240"/>
        <w:rPr>
          <w:rFonts w:ascii="宋体" w:eastAsia="宋体" w:hAnsi="Times New Roman"/>
          <w:color w:val="000000"/>
        </w:rPr>
      </w:pPr>
      <w:r w:rsidRPr="001F4CCD">
        <w:rPr>
          <w:rFonts w:ascii="宋体" w:eastAsia="宋体" w:hAnsi="Times New Roman" w:hint="eastAsia"/>
          <w:color w:val="000000"/>
        </w:rPr>
        <w:t>粤语</w:t>
      </w:r>
    </w:p>
    <w:p w14:paraId="5CB62907" w14:textId="77777777" w:rsidR="001F4CCD" w:rsidRDefault="001F4CCD" w:rsidP="001F4CCD">
      <w:pPr>
        <w:pStyle w:val="af5"/>
        <w:spacing w:after="0" w:line="480" w:lineRule="auto"/>
        <w:rPr>
          <w:rFonts w:ascii="宋体" w:eastAsia="宋体" w:hAnsi="宋体"/>
          <w:b/>
          <w:sz w:val="24"/>
        </w:rPr>
      </w:pPr>
      <w:r w:rsidRPr="001F4CCD">
        <w:rPr>
          <w:rFonts w:ascii="宋体" w:eastAsia="宋体" w:hAnsi="宋体" w:hint="eastAsia"/>
          <w:b/>
          <w:sz w:val="24"/>
        </w:rPr>
        <w:t>职业背景</w:t>
      </w:r>
    </w:p>
    <w:p w14:paraId="4F0A196B" w14:textId="5EDEF187" w:rsidR="00A46A04" w:rsidRPr="001F4CCD" w:rsidRDefault="001F4CCD" w:rsidP="001F4CCD">
      <w:pPr>
        <w:pStyle w:val="af5"/>
        <w:numPr>
          <w:ilvl w:val="0"/>
          <w:numId w:val="25"/>
        </w:numPr>
        <w:spacing w:before="120"/>
        <w:ind w:left="690" w:hanging="240"/>
        <w:rPr>
          <w:rFonts w:ascii="宋体" w:eastAsia="宋体" w:hAnsi="Times New Roman"/>
          <w:color w:val="000000"/>
        </w:rPr>
      </w:pPr>
      <w:r w:rsidRPr="001F4CCD">
        <w:rPr>
          <w:rFonts w:ascii="宋体" w:eastAsia="宋体" w:hAnsi="Times New Roman" w:hint="eastAsia"/>
          <w:color w:val="000000"/>
        </w:rPr>
        <w:t>卢律师于</w:t>
      </w:r>
      <w:r w:rsidRPr="001F4CCD">
        <w:rPr>
          <w:rFonts w:ascii="宋体" w:eastAsia="宋体" w:hAnsi="Times New Roman"/>
          <w:color w:val="000000"/>
        </w:rPr>
        <w:t>2025年加入方达律师事务所作为资深律师, 拥有超过15年银行金融执业律师经验。加入方达律师事务所之前, 卢律师曾于多间知名中国、美国及英国国际律师事务所的香港办公室工作, 包括盛德律师事务所、金杜律师事务所、孖士打律师行及其礼律师行。卢律师曾被借调于法国巴黎银行为资产融资内部法务顾问。</w:t>
      </w:r>
    </w:p>
    <w:sectPr w:rsidR="00A46A04" w:rsidRPr="001F4CC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034"/>
    <w:multiLevelType w:val="singleLevel"/>
    <w:tmpl w:val="2C3684E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A51479"/>
    <w:multiLevelType w:val="singleLevel"/>
    <w:tmpl w:val="53C88EC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1C17A9"/>
    <w:multiLevelType w:val="singleLevel"/>
    <w:tmpl w:val="DD2C7A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CE17A5"/>
    <w:multiLevelType w:val="singleLevel"/>
    <w:tmpl w:val="28DA908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A53A69"/>
    <w:multiLevelType w:val="singleLevel"/>
    <w:tmpl w:val="A50C393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2B119B"/>
    <w:multiLevelType w:val="singleLevel"/>
    <w:tmpl w:val="09BCC82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80233F"/>
    <w:multiLevelType w:val="singleLevel"/>
    <w:tmpl w:val="134210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4765D7"/>
    <w:multiLevelType w:val="singleLevel"/>
    <w:tmpl w:val="F118B4C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03F205B"/>
    <w:multiLevelType w:val="singleLevel"/>
    <w:tmpl w:val="DF58D1F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26D2BA6"/>
    <w:multiLevelType w:val="singleLevel"/>
    <w:tmpl w:val="AB6E392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5437DBA"/>
    <w:multiLevelType w:val="singleLevel"/>
    <w:tmpl w:val="E0D86C9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1F467B6"/>
    <w:multiLevelType w:val="singleLevel"/>
    <w:tmpl w:val="A9D4B7E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DE21CEC"/>
    <w:multiLevelType w:val="singleLevel"/>
    <w:tmpl w:val="4D7057D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26A4509"/>
    <w:multiLevelType w:val="singleLevel"/>
    <w:tmpl w:val="2B8E38E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7FD30A9"/>
    <w:multiLevelType w:val="singleLevel"/>
    <w:tmpl w:val="53C88EC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C52489E"/>
    <w:multiLevelType w:val="singleLevel"/>
    <w:tmpl w:val="0B8A326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2185E28"/>
    <w:multiLevelType w:val="singleLevel"/>
    <w:tmpl w:val="6CFEDA6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2917F77"/>
    <w:multiLevelType w:val="singleLevel"/>
    <w:tmpl w:val="17BAB19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836101D"/>
    <w:multiLevelType w:val="singleLevel"/>
    <w:tmpl w:val="EFB6BE1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AB54375"/>
    <w:multiLevelType w:val="singleLevel"/>
    <w:tmpl w:val="2D100A0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CDD7391"/>
    <w:multiLevelType w:val="singleLevel"/>
    <w:tmpl w:val="30A45EA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D4049A8"/>
    <w:multiLevelType w:val="singleLevel"/>
    <w:tmpl w:val="C662447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FA22C76"/>
    <w:multiLevelType w:val="singleLevel"/>
    <w:tmpl w:val="6E72AE54"/>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2"/>
  </w:num>
  <w:num w:numId="3">
    <w:abstractNumId w:val="4"/>
  </w:num>
  <w:num w:numId="4">
    <w:abstractNumId w:val="3"/>
  </w:num>
  <w:num w:numId="5">
    <w:abstractNumId w:val="15"/>
  </w:num>
  <w:num w:numId="6">
    <w:abstractNumId w:val="5"/>
  </w:num>
  <w:num w:numId="7">
    <w:abstractNumId w:val="20"/>
  </w:num>
  <w:num w:numId="8">
    <w:abstractNumId w:val="19"/>
  </w:num>
  <w:num w:numId="9">
    <w:abstractNumId w:val="11"/>
  </w:num>
  <w:num w:numId="10">
    <w:abstractNumId w:val="13"/>
  </w:num>
  <w:num w:numId="11">
    <w:abstractNumId w:val="14"/>
  </w:num>
  <w:num w:numId="12">
    <w:abstractNumId w:val="21"/>
  </w:num>
  <w:num w:numId="13">
    <w:abstractNumId w:val="9"/>
  </w:num>
  <w:num w:numId="14">
    <w:abstractNumId w:val="17"/>
  </w:num>
  <w:num w:numId="15">
    <w:abstractNumId w:val="24"/>
  </w:num>
  <w:num w:numId="16">
    <w:abstractNumId w:val="6"/>
  </w:num>
  <w:num w:numId="17">
    <w:abstractNumId w:val="2"/>
  </w:num>
  <w:num w:numId="18">
    <w:abstractNumId w:val="7"/>
  </w:num>
  <w:num w:numId="19">
    <w:abstractNumId w:val="10"/>
  </w:num>
  <w:num w:numId="20">
    <w:abstractNumId w:val="22"/>
  </w:num>
  <w:num w:numId="21">
    <w:abstractNumId w:val="18"/>
  </w:num>
  <w:num w:numId="22">
    <w:abstractNumId w:val="0"/>
  </w:num>
  <w:num w:numId="23">
    <w:abstractNumId w:val="23"/>
  </w:num>
  <w:num w:numId="24">
    <w:abstractNumId w:val="1"/>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4CCD"/>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F4CCD"/>
    <w:pPr>
      <w:spacing w:after="120"/>
    </w:pPr>
  </w:style>
  <w:style w:type="character" w:customStyle="1" w:styleId="af6">
    <w:name w:val="正文文本 字符"/>
    <w:basedOn w:val="a0"/>
    <w:link w:val="af5"/>
    <w:uiPriority w:val="99"/>
    <w:rsid w:val="001F4CC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E4390-A8AD-4343-BAC0-B4292669D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1695</Characters>
  <Application>Microsoft Office Word</Application>
  <DocSecurity>0</DocSecurity>
  <Lines>14</Lines>
  <Paragraphs>3</Paragraphs>
  <ScaleCrop>false</ScaleCrop>
  <Company/>
  <LinksUpToDate>false</LinksUpToDate>
  <CharactersWithSpaces>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2026-07-28T01:44:00Z</dcterms:created>
  <dcterms:modified xsi:type="dcterms:W3CDTF">2026-07-28T01:44:00Z</dcterms:modified>
</cp:coreProperties>
</file>