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2DC37F0D" w:rsidR="0049405C" w:rsidRPr="00187BAA" w:rsidRDefault="004F64BE" w:rsidP="004F64BE">
            <w:pPr>
              <w:spacing w:line="720" w:lineRule="auto"/>
              <w:rPr>
                <w:rFonts w:ascii="宋体" w:eastAsia="宋体" w:hAnsi="宋体"/>
                <w:color w:val="545551"/>
              </w:rPr>
            </w:pPr>
            <w:bookmarkStart w:id="0" w:name="xingming"/>
            <w:bookmarkStart w:id="1" w:name="_GoBack"/>
            <w:bookmarkEnd w:id="1"/>
            <w:r w:rsidRPr="004F64BE">
              <w:rPr>
                <w:rFonts w:ascii="宋体" w:eastAsia="宋体" w:hAnsi="Times New Roman" w:hint="eastAsia"/>
                <w:b/>
                <w:color w:val="000000"/>
                <w:sz w:val="48"/>
              </w:rPr>
              <w:t>李婧怡</w:t>
            </w:r>
            <w:bookmarkEnd w:id="0"/>
          </w:p>
          <w:p w14:paraId="706EB16B" w14:textId="3FEDE85E" w:rsidR="0049405C" w:rsidRPr="00187BAA" w:rsidRDefault="004F64BE" w:rsidP="004F64BE">
            <w:pPr>
              <w:spacing w:line="360" w:lineRule="auto"/>
              <w:rPr>
                <w:rFonts w:ascii="宋体" w:eastAsia="宋体" w:hAnsi="宋体"/>
                <w:b/>
                <w:bCs/>
                <w:color w:val="545551"/>
              </w:rPr>
            </w:pPr>
            <w:bookmarkStart w:id="2" w:name="didian"/>
            <w:r w:rsidRPr="004F64BE">
              <w:rPr>
                <w:rFonts w:ascii="宋体" w:eastAsia="宋体" w:hAnsi="Times New Roman" w:hint="eastAsia"/>
                <w:b/>
                <w:bCs/>
                <w:color w:val="000000"/>
              </w:rPr>
              <w:t>资深律师·上海</w:t>
            </w:r>
            <w:bookmarkEnd w:id="2"/>
          </w:p>
          <w:p w14:paraId="6199424A" w14:textId="24F84567" w:rsidR="0049405C" w:rsidRPr="00187BAA" w:rsidRDefault="004F64BE" w:rsidP="004F64BE">
            <w:pPr>
              <w:spacing w:line="360" w:lineRule="auto"/>
              <w:rPr>
                <w:rFonts w:ascii="宋体" w:eastAsia="宋体" w:hAnsi="宋体"/>
                <w:color w:val="545551"/>
              </w:rPr>
            </w:pPr>
            <w:bookmarkStart w:id="3" w:name="dianhua"/>
            <w:r w:rsidRPr="004F64BE">
              <w:rPr>
                <w:rFonts w:ascii="宋体" w:eastAsia="宋体" w:hAnsi="Times New Roman"/>
                <w:color w:val="000000"/>
              </w:rPr>
              <w:t>+86 21 2208 1059</w:t>
            </w:r>
            <w:bookmarkEnd w:id="3"/>
          </w:p>
          <w:p w14:paraId="4F910ACA" w14:textId="638B3F6E" w:rsidR="0049405C" w:rsidRPr="00187BAA" w:rsidRDefault="004F64BE" w:rsidP="004F64BE">
            <w:pPr>
              <w:spacing w:line="360" w:lineRule="auto"/>
              <w:rPr>
                <w:rFonts w:ascii="宋体" w:eastAsia="宋体" w:hAnsi="宋体"/>
                <w:color w:val="000000"/>
              </w:rPr>
            </w:pPr>
            <w:bookmarkStart w:id="4" w:name="youxiang"/>
            <w:r w:rsidRPr="004F64BE">
              <w:rPr>
                <w:rFonts w:ascii="宋体" w:eastAsia="宋体" w:hAnsi="Times New Roman"/>
                <w:color w:val="000000"/>
              </w:rPr>
              <w:t>jingyi.li@fangdalaw.com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06176661" w:rsidR="0049405C" w:rsidRPr="00187BAA" w:rsidRDefault="004F64BE"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4ABF3E5A" wp14:editId="20CE44BC">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700D55F2" w:rsidR="009465FB" w:rsidRPr="00187BAA" w:rsidRDefault="004F64BE" w:rsidP="007177F3">
            <w:pPr>
              <w:rPr>
                <w:rFonts w:ascii="宋体" w:eastAsia="宋体" w:hAnsi="宋体"/>
                <w:color w:val="000000"/>
                <w:szCs w:val="21"/>
              </w:rPr>
            </w:pPr>
            <w:bookmarkStart w:id="6" w:name="zhiyelingyu"/>
            <w:r w:rsidRPr="004F64BE">
              <w:rPr>
                <w:rFonts w:ascii="宋体" w:eastAsia="宋体" w:hAnsi="Times New Roman" w:hint="eastAsia"/>
                <w:color w:val="000000"/>
                <w:szCs w:val="21"/>
              </w:rPr>
              <w:t>李婧怡律师的主要执业领域包括跨境收购、私募股权投资、外商直接投资、一般性公司事务等。</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061A34F" w14:textId="77777777" w:rsidR="004F64BE"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DA90708" w14:textId="77777777" w:rsidR="004F64BE" w:rsidRDefault="004F64BE" w:rsidP="004F64BE">
      <w:pPr>
        <w:pStyle w:val="af5"/>
        <w:spacing w:after="0" w:line="480" w:lineRule="auto"/>
        <w:rPr>
          <w:rFonts w:ascii="宋体" w:eastAsia="宋体" w:hAnsi="宋体"/>
          <w:b/>
          <w:sz w:val="24"/>
        </w:rPr>
      </w:pPr>
      <w:r w:rsidRPr="004F64BE">
        <w:rPr>
          <w:rFonts w:ascii="宋体" w:eastAsia="宋体" w:hAnsi="宋体" w:hint="eastAsia"/>
          <w:b/>
          <w:sz w:val="24"/>
        </w:rPr>
        <w:t>近期代理的主要案件</w:t>
      </w:r>
    </w:p>
    <w:p w14:paraId="3939B813" w14:textId="77777777" w:rsidR="004F64BE" w:rsidRDefault="004F64BE" w:rsidP="004F64BE">
      <w:pPr>
        <w:pStyle w:val="af5"/>
        <w:spacing w:before="120"/>
        <w:rPr>
          <w:rFonts w:ascii="宋体" w:eastAsia="宋体" w:hAnsi="Times New Roman"/>
          <w:color w:val="000000"/>
        </w:rPr>
      </w:pPr>
    </w:p>
    <w:p w14:paraId="406D0E9F" w14:textId="77777777" w:rsidR="004F64BE" w:rsidRDefault="004F64BE" w:rsidP="004F64BE">
      <w:pPr>
        <w:pStyle w:val="af5"/>
        <w:numPr>
          <w:ilvl w:val="0"/>
          <w:numId w:val="4"/>
        </w:numPr>
        <w:spacing w:before="120"/>
        <w:ind w:left="690" w:hanging="240"/>
        <w:rPr>
          <w:rFonts w:ascii="宋体" w:eastAsia="宋体" w:hAnsi="Times New Roman"/>
          <w:color w:val="000000"/>
        </w:rPr>
      </w:pPr>
      <w:r w:rsidRPr="004F64BE">
        <w:rPr>
          <w:rFonts w:ascii="宋体" w:eastAsia="宋体" w:hAnsi="Times New Roman" w:hint="eastAsia"/>
          <w:color w:val="000000"/>
        </w:rPr>
        <w:t>代表闻泰科技（</w:t>
      </w:r>
      <w:r w:rsidRPr="004F64BE">
        <w:rPr>
          <w:rFonts w:ascii="宋体" w:eastAsia="宋体" w:hAnsi="Times New Roman"/>
          <w:color w:val="000000"/>
        </w:rPr>
        <w:t>600745）向立讯通讯出售其产品集成业务</w:t>
      </w:r>
    </w:p>
    <w:p w14:paraId="5573EF93" w14:textId="77777777" w:rsidR="004F64BE" w:rsidRDefault="004F64BE" w:rsidP="004F64BE">
      <w:pPr>
        <w:pStyle w:val="af5"/>
        <w:numPr>
          <w:ilvl w:val="0"/>
          <w:numId w:val="5"/>
        </w:numPr>
        <w:spacing w:before="120"/>
        <w:ind w:left="690" w:hanging="240"/>
        <w:rPr>
          <w:rFonts w:ascii="宋体" w:eastAsia="宋体" w:hAnsi="Times New Roman"/>
          <w:color w:val="000000"/>
        </w:rPr>
      </w:pPr>
      <w:r w:rsidRPr="004F64BE">
        <w:rPr>
          <w:rFonts w:ascii="宋体" w:eastAsia="宋体" w:hAnsi="Times New Roman" w:hint="eastAsia"/>
          <w:color w:val="000000"/>
        </w:rPr>
        <w:t>代表阿里巴巴向雅戈尔集团和银泰管理团队成员组成的买方财团出售银泰商场</w:t>
      </w:r>
    </w:p>
    <w:p w14:paraId="3BC654E1" w14:textId="77777777" w:rsidR="004F64BE" w:rsidRDefault="004F64BE" w:rsidP="004F64BE">
      <w:pPr>
        <w:pStyle w:val="af5"/>
        <w:numPr>
          <w:ilvl w:val="0"/>
          <w:numId w:val="6"/>
        </w:numPr>
        <w:spacing w:before="120"/>
        <w:ind w:left="690" w:hanging="240"/>
        <w:rPr>
          <w:rFonts w:ascii="宋体" w:eastAsia="宋体" w:hAnsi="Times New Roman"/>
          <w:color w:val="000000"/>
        </w:rPr>
      </w:pPr>
      <w:r w:rsidRPr="004F64BE">
        <w:rPr>
          <w:rFonts w:ascii="宋体" w:eastAsia="宋体" w:hAnsi="Times New Roman" w:hint="eastAsia"/>
          <w:color w:val="000000"/>
        </w:rPr>
        <w:t>代表荷兰皇家菲仕兰（</w:t>
      </w:r>
      <w:r w:rsidRPr="004F64BE">
        <w:rPr>
          <w:rFonts w:ascii="宋体" w:eastAsia="宋体" w:hAnsi="Times New Roman"/>
          <w:color w:val="000000"/>
        </w:rPr>
        <w:t>Royal FrieslandCampina）向伊利（600887）出售</w:t>
      </w:r>
      <w:r w:rsidRPr="004F64BE">
        <w:rPr>
          <w:rFonts w:ascii="宋体" w:eastAsia="宋体" w:hAnsi="Times New Roman"/>
          <w:color w:val="000000"/>
        </w:rPr>
        <w:t>“</w:t>
      </w:r>
      <w:r w:rsidRPr="004F64BE">
        <w:rPr>
          <w:rFonts w:ascii="宋体" w:eastAsia="宋体" w:hAnsi="Times New Roman"/>
          <w:color w:val="000000"/>
        </w:rPr>
        <w:t>子母</w:t>
      </w:r>
      <w:r w:rsidRPr="004F64BE">
        <w:rPr>
          <w:rFonts w:ascii="宋体" w:eastAsia="宋体" w:hAnsi="Times New Roman"/>
          <w:color w:val="000000"/>
        </w:rPr>
        <w:t>”</w:t>
      </w:r>
      <w:r w:rsidRPr="004F64BE">
        <w:rPr>
          <w:rFonts w:ascii="宋体" w:eastAsia="宋体" w:hAnsi="Times New Roman"/>
          <w:color w:val="000000"/>
        </w:rPr>
        <w:t>品牌婴儿配方奶粉和幼儿营养产品工厂</w:t>
      </w:r>
    </w:p>
    <w:p w14:paraId="63FAB79B" w14:textId="77777777" w:rsidR="004F64BE" w:rsidRDefault="004F64BE" w:rsidP="004F64BE">
      <w:pPr>
        <w:pStyle w:val="af5"/>
        <w:numPr>
          <w:ilvl w:val="0"/>
          <w:numId w:val="7"/>
        </w:numPr>
        <w:spacing w:before="120"/>
        <w:ind w:left="690" w:hanging="240"/>
        <w:rPr>
          <w:rFonts w:ascii="宋体" w:eastAsia="宋体" w:hAnsi="Times New Roman"/>
          <w:color w:val="000000"/>
        </w:rPr>
      </w:pPr>
      <w:r w:rsidRPr="004F64BE">
        <w:rPr>
          <w:rFonts w:ascii="宋体" w:eastAsia="宋体" w:hAnsi="Times New Roman" w:hint="eastAsia"/>
          <w:color w:val="000000"/>
        </w:rPr>
        <w:t>代表太古饮料控股太古饮料控股收购向可口可乐收购其在华自有部分装瓶业务的股权</w:t>
      </w:r>
    </w:p>
    <w:p w14:paraId="7B5C58AB" w14:textId="77777777" w:rsidR="004F64BE" w:rsidRDefault="004F64BE" w:rsidP="004F64BE">
      <w:pPr>
        <w:pStyle w:val="af5"/>
        <w:numPr>
          <w:ilvl w:val="0"/>
          <w:numId w:val="8"/>
        </w:numPr>
        <w:spacing w:before="120"/>
        <w:ind w:left="690" w:hanging="240"/>
        <w:rPr>
          <w:rFonts w:ascii="宋体" w:eastAsia="宋体" w:hAnsi="Times New Roman"/>
          <w:color w:val="000000"/>
        </w:rPr>
      </w:pPr>
      <w:r w:rsidRPr="004F64BE">
        <w:rPr>
          <w:rFonts w:ascii="宋体" w:eastAsia="宋体" w:hAnsi="Times New Roman" w:hint="eastAsia"/>
          <w:color w:val="000000"/>
        </w:rPr>
        <w:t>代表太古集团收购德达医疗（一家位于上海专注心血管疾病的私立医院）的控股权</w:t>
      </w:r>
    </w:p>
    <w:p w14:paraId="311CDCF0" w14:textId="77777777" w:rsidR="004F64BE" w:rsidRDefault="004F64BE" w:rsidP="004F64BE">
      <w:pPr>
        <w:pStyle w:val="af5"/>
        <w:numPr>
          <w:ilvl w:val="0"/>
          <w:numId w:val="9"/>
        </w:numPr>
        <w:spacing w:before="120"/>
        <w:ind w:left="690" w:hanging="240"/>
        <w:rPr>
          <w:rFonts w:ascii="宋体" w:eastAsia="宋体" w:hAnsi="Times New Roman"/>
          <w:color w:val="000000"/>
        </w:rPr>
      </w:pPr>
      <w:r w:rsidRPr="004F64BE">
        <w:rPr>
          <w:rFonts w:ascii="宋体" w:eastAsia="宋体" w:hAnsi="Times New Roman" w:hint="eastAsia"/>
          <w:color w:val="000000"/>
        </w:rPr>
        <w:t>代表</w:t>
      </w:r>
      <w:r w:rsidRPr="004F64BE">
        <w:rPr>
          <w:rFonts w:ascii="宋体" w:eastAsia="宋体" w:hAnsi="Times New Roman"/>
          <w:color w:val="000000"/>
        </w:rPr>
        <w:t>PAG通过司法拍卖方式收购凤祥股份（09977）的控股权</w:t>
      </w:r>
    </w:p>
    <w:p w14:paraId="466EF7F8" w14:textId="77777777" w:rsidR="004F64BE" w:rsidRDefault="004F64BE" w:rsidP="004F64BE">
      <w:pPr>
        <w:pStyle w:val="af5"/>
        <w:numPr>
          <w:ilvl w:val="0"/>
          <w:numId w:val="10"/>
        </w:numPr>
        <w:spacing w:before="120"/>
        <w:ind w:left="690" w:hanging="240"/>
        <w:rPr>
          <w:rFonts w:ascii="宋体" w:eastAsia="宋体" w:hAnsi="Times New Roman"/>
          <w:color w:val="000000"/>
        </w:rPr>
      </w:pPr>
      <w:r w:rsidRPr="004F64BE">
        <w:rPr>
          <w:rFonts w:ascii="宋体" w:eastAsia="宋体" w:hAnsi="Times New Roman" w:hint="eastAsia"/>
          <w:color w:val="000000"/>
        </w:rPr>
        <w:t>代表</w:t>
      </w:r>
      <w:r w:rsidRPr="004F64BE">
        <w:rPr>
          <w:rFonts w:ascii="宋体" w:eastAsia="宋体" w:hAnsi="Times New Roman"/>
          <w:color w:val="000000"/>
        </w:rPr>
        <w:t>PAG收购先尼科化工（一家有机颜料行业龙头企业）的控股股权</w:t>
      </w:r>
    </w:p>
    <w:p w14:paraId="160C0A77" w14:textId="77777777" w:rsidR="004F64BE" w:rsidRDefault="004F64BE" w:rsidP="004F64BE">
      <w:pPr>
        <w:pStyle w:val="af5"/>
        <w:numPr>
          <w:ilvl w:val="0"/>
          <w:numId w:val="11"/>
        </w:numPr>
        <w:spacing w:before="120"/>
        <w:ind w:left="690" w:hanging="240"/>
        <w:rPr>
          <w:rFonts w:ascii="宋体" w:eastAsia="宋体" w:hAnsi="Times New Roman"/>
          <w:color w:val="000000"/>
        </w:rPr>
      </w:pPr>
      <w:r w:rsidRPr="004F64BE">
        <w:rPr>
          <w:rFonts w:ascii="宋体" w:eastAsia="宋体" w:hAnsi="Times New Roman" w:hint="eastAsia"/>
          <w:color w:val="000000"/>
        </w:rPr>
        <w:t>代表上海海立集团收购汽车零件公司马瑞利全球</w:t>
      </w:r>
      <w:r w:rsidRPr="004F64BE">
        <w:rPr>
          <w:rFonts w:ascii="宋体" w:eastAsia="宋体" w:hAnsi="Times New Roman"/>
          <w:color w:val="000000"/>
        </w:rPr>
        <w:t>HVAC业务多数股权</w:t>
      </w:r>
    </w:p>
    <w:p w14:paraId="62DAF142" w14:textId="77777777" w:rsidR="004F64BE" w:rsidRDefault="004F64BE" w:rsidP="004F64BE">
      <w:pPr>
        <w:pStyle w:val="af5"/>
        <w:numPr>
          <w:ilvl w:val="0"/>
          <w:numId w:val="12"/>
        </w:numPr>
        <w:spacing w:before="120"/>
        <w:ind w:left="690" w:hanging="240"/>
        <w:rPr>
          <w:rFonts w:ascii="宋体" w:eastAsia="宋体" w:hAnsi="Times New Roman"/>
          <w:color w:val="000000"/>
        </w:rPr>
      </w:pPr>
      <w:r w:rsidRPr="004F64BE">
        <w:rPr>
          <w:rFonts w:ascii="宋体" w:eastAsia="宋体" w:hAnsi="Times New Roman" w:hint="eastAsia"/>
          <w:color w:val="000000"/>
        </w:rPr>
        <w:t>代表上海莱士（</w:t>
      </w:r>
      <w:r w:rsidRPr="004F64BE">
        <w:rPr>
          <w:rFonts w:ascii="宋体" w:eastAsia="宋体" w:hAnsi="Times New Roman"/>
          <w:color w:val="000000"/>
        </w:rPr>
        <w:t>002252）收购广西冠峰生物制品有限公司的控股权</w:t>
      </w:r>
    </w:p>
    <w:p w14:paraId="62BE20F6" w14:textId="77777777" w:rsidR="004F64BE" w:rsidRDefault="004F64BE" w:rsidP="004F64BE">
      <w:pPr>
        <w:pStyle w:val="af5"/>
        <w:numPr>
          <w:ilvl w:val="0"/>
          <w:numId w:val="13"/>
        </w:numPr>
        <w:spacing w:before="120"/>
        <w:ind w:left="690" w:hanging="240"/>
        <w:rPr>
          <w:rFonts w:ascii="宋体" w:eastAsia="宋体" w:hAnsi="Times New Roman"/>
          <w:color w:val="000000"/>
        </w:rPr>
      </w:pPr>
      <w:r w:rsidRPr="004F64BE">
        <w:rPr>
          <w:rFonts w:ascii="宋体" w:eastAsia="宋体" w:hAnsi="Times New Roman" w:hint="eastAsia"/>
          <w:color w:val="000000"/>
        </w:rPr>
        <w:t>代表晨壹基金收购厦门璞真食品有限公司的控股权</w:t>
      </w:r>
    </w:p>
    <w:p w14:paraId="09CEB687" w14:textId="77777777" w:rsidR="004F64BE" w:rsidRDefault="004F64BE" w:rsidP="004F64BE">
      <w:pPr>
        <w:pStyle w:val="af5"/>
        <w:numPr>
          <w:ilvl w:val="0"/>
          <w:numId w:val="14"/>
        </w:numPr>
        <w:spacing w:before="120"/>
        <w:ind w:left="690" w:hanging="240"/>
        <w:rPr>
          <w:rFonts w:ascii="宋体" w:eastAsia="宋体" w:hAnsi="Times New Roman"/>
          <w:color w:val="000000"/>
        </w:rPr>
      </w:pPr>
      <w:r w:rsidRPr="004F64BE">
        <w:rPr>
          <w:rFonts w:ascii="宋体" w:eastAsia="宋体" w:hAnsi="Times New Roman" w:hint="eastAsia"/>
          <w:color w:val="000000"/>
        </w:rPr>
        <w:t>代表诺力智能（</w:t>
      </w:r>
      <w:r w:rsidRPr="004F64BE">
        <w:rPr>
          <w:rFonts w:ascii="宋体" w:eastAsia="宋体" w:hAnsi="Times New Roman"/>
          <w:color w:val="000000"/>
        </w:rPr>
        <w:t>603611）旗下产业并购基金收购法国 Savoye公司（全球领先物流系统集成商）的全部股权</w:t>
      </w:r>
    </w:p>
    <w:p w14:paraId="3B1DB4CC" w14:textId="77777777" w:rsidR="004F64BE" w:rsidRDefault="004F64BE" w:rsidP="004F64BE">
      <w:pPr>
        <w:pStyle w:val="af5"/>
        <w:numPr>
          <w:ilvl w:val="0"/>
          <w:numId w:val="15"/>
        </w:numPr>
        <w:spacing w:before="120"/>
        <w:ind w:left="690" w:hanging="240"/>
        <w:rPr>
          <w:rFonts w:ascii="宋体" w:eastAsia="宋体" w:hAnsi="Times New Roman"/>
          <w:color w:val="000000"/>
        </w:rPr>
      </w:pPr>
      <w:r w:rsidRPr="004F64BE">
        <w:rPr>
          <w:rFonts w:ascii="宋体" w:eastAsia="宋体" w:hAnsi="Times New Roman" w:hint="eastAsia"/>
          <w:color w:val="000000"/>
        </w:rPr>
        <w:t>代表阿特拉斯</w:t>
      </w:r>
      <w:r w:rsidRPr="004F64BE">
        <w:rPr>
          <w:rFonts w:ascii="宋体" w:eastAsia="宋体" w:hAnsi="Times New Roman"/>
          <w:color w:val="000000"/>
        </w:rPr>
        <w:t></w:t>
      </w:r>
      <w:r w:rsidRPr="004F64BE">
        <w:rPr>
          <w:rFonts w:ascii="宋体" w:eastAsia="宋体" w:hAnsi="Times New Roman"/>
          <w:color w:val="000000"/>
        </w:rPr>
        <w:t>科普柯收购中国液环泵和系统制造商山东伯仲的全部资产</w:t>
      </w:r>
    </w:p>
    <w:p w14:paraId="61F681B3" w14:textId="77777777" w:rsidR="004F64BE" w:rsidRDefault="004F64BE" w:rsidP="004F64BE">
      <w:pPr>
        <w:pStyle w:val="af5"/>
        <w:numPr>
          <w:ilvl w:val="0"/>
          <w:numId w:val="16"/>
        </w:numPr>
        <w:spacing w:before="120"/>
        <w:ind w:left="690" w:hanging="240"/>
        <w:rPr>
          <w:rFonts w:ascii="宋体" w:eastAsia="宋体" w:hAnsi="Times New Roman"/>
          <w:color w:val="000000"/>
        </w:rPr>
      </w:pPr>
      <w:r w:rsidRPr="004F64BE">
        <w:rPr>
          <w:rFonts w:ascii="宋体" w:eastAsia="宋体" w:hAnsi="Times New Roman" w:hint="eastAsia"/>
          <w:color w:val="000000"/>
        </w:rPr>
        <w:t>代表远景智能从红杉中国和新加坡政府等知名财务投资机构获得</w:t>
      </w:r>
      <w:r w:rsidRPr="004F64BE">
        <w:rPr>
          <w:rFonts w:ascii="宋体" w:eastAsia="宋体" w:hAnsi="Times New Roman"/>
          <w:color w:val="000000"/>
        </w:rPr>
        <w:t>A 轮和 A+轮融资</w:t>
      </w:r>
    </w:p>
    <w:p w14:paraId="5D6A4CD2" w14:textId="77777777" w:rsidR="004F64BE" w:rsidRDefault="004F64BE" w:rsidP="004F64BE">
      <w:pPr>
        <w:pStyle w:val="af5"/>
        <w:numPr>
          <w:ilvl w:val="0"/>
          <w:numId w:val="17"/>
        </w:numPr>
        <w:spacing w:before="120"/>
        <w:ind w:left="690" w:hanging="240"/>
        <w:rPr>
          <w:rFonts w:ascii="宋体" w:eastAsia="宋体" w:hAnsi="Times New Roman"/>
          <w:color w:val="000000"/>
        </w:rPr>
      </w:pPr>
      <w:r w:rsidRPr="004F64BE">
        <w:rPr>
          <w:rFonts w:ascii="宋体" w:eastAsia="宋体" w:hAnsi="Times New Roman" w:hint="eastAsia"/>
          <w:color w:val="000000"/>
        </w:rPr>
        <w:t>代表智加科技从满帮集团、金沙江创投、光速创投、上汽集团、华创资本、红杉中国、国泰君安等知名战略</w:t>
      </w:r>
      <w:r w:rsidRPr="004F64BE">
        <w:rPr>
          <w:rFonts w:ascii="宋体" w:eastAsia="宋体" w:hAnsi="Times New Roman"/>
          <w:color w:val="000000"/>
        </w:rPr>
        <w:t>/财务投资机构处获得可转债融资、A轮、A+轮、B轮和C轮融资</w:t>
      </w:r>
    </w:p>
    <w:p w14:paraId="5EB40F95" w14:textId="77777777" w:rsidR="004F64BE" w:rsidRDefault="004F64BE" w:rsidP="004F64BE">
      <w:pPr>
        <w:pStyle w:val="af5"/>
        <w:numPr>
          <w:ilvl w:val="0"/>
          <w:numId w:val="18"/>
        </w:numPr>
        <w:spacing w:before="120"/>
        <w:ind w:left="690" w:hanging="240"/>
        <w:rPr>
          <w:rFonts w:ascii="宋体" w:eastAsia="宋体" w:hAnsi="Times New Roman"/>
          <w:color w:val="000000"/>
        </w:rPr>
      </w:pPr>
      <w:r w:rsidRPr="004F64BE">
        <w:rPr>
          <w:rFonts w:ascii="宋体" w:eastAsia="宋体" w:hAnsi="Times New Roman" w:hint="eastAsia"/>
          <w:color w:val="000000"/>
        </w:rPr>
        <w:t>代表国家军民融合基金参与多个高科技领域</w:t>
      </w:r>
      <w:r w:rsidRPr="004F64BE">
        <w:rPr>
          <w:rFonts w:ascii="宋体" w:eastAsia="宋体" w:hAnsi="Times New Roman"/>
          <w:color w:val="000000"/>
        </w:rPr>
        <w:t>Pre-IPO轮投资项目</w:t>
      </w:r>
    </w:p>
    <w:p w14:paraId="14163A14" w14:textId="77777777" w:rsidR="004F64BE" w:rsidRDefault="004F64BE" w:rsidP="004F64BE">
      <w:pPr>
        <w:pStyle w:val="af5"/>
        <w:numPr>
          <w:ilvl w:val="0"/>
          <w:numId w:val="19"/>
        </w:numPr>
        <w:spacing w:before="120"/>
        <w:ind w:left="690" w:hanging="240"/>
        <w:rPr>
          <w:rFonts w:ascii="宋体" w:eastAsia="宋体" w:hAnsi="Times New Roman"/>
          <w:color w:val="000000"/>
        </w:rPr>
      </w:pPr>
      <w:r w:rsidRPr="004F64BE">
        <w:rPr>
          <w:rFonts w:ascii="宋体" w:eastAsia="宋体" w:hAnsi="Times New Roman" w:hint="eastAsia"/>
          <w:color w:val="000000"/>
        </w:rPr>
        <w:t>代表鼎晖创新与成长基金参与多个医疗领域投资项目</w:t>
      </w:r>
    </w:p>
    <w:p w14:paraId="596A5301" w14:textId="77777777" w:rsidR="004F64BE" w:rsidRDefault="004F64BE" w:rsidP="004F64BE">
      <w:pPr>
        <w:pStyle w:val="af5"/>
        <w:numPr>
          <w:ilvl w:val="0"/>
          <w:numId w:val="20"/>
        </w:numPr>
        <w:spacing w:before="120"/>
        <w:ind w:left="690" w:hanging="240"/>
        <w:rPr>
          <w:rFonts w:ascii="宋体" w:eastAsia="宋体" w:hAnsi="Times New Roman"/>
          <w:color w:val="000000"/>
        </w:rPr>
      </w:pPr>
      <w:r w:rsidRPr="004F64BE">
        <w:rPr>
          <w:rFonts w:ascii="宋体" w:eastAsia="宋体" w:hAnsi="Times New Roman" w:hint="eastAsia"/>
          <w:color w:val="000000"/>
        </w:rPr>
        <w:t>代表中国农业银行的全资资产管理机构对水电、风电、光电等多家能源类及电子制造、机械制造、污水处理、黄金冶炼等行业大型国企及优质民营上市公司进行市场化债转股投资</w:t>
      </w:r>
    </w:p>
    <w:p w14:paraId="29345238" w14:textId="77777777" w:rsidR="004F64BE" w:rsidRDefault="004F64BE" w:rsidP="004F64BE">
      <w:pPr>
        <w:pStyle w:val="af5"/>
        <w:numPr>
          <w:ilvl w:val="0"/>
          <w:numId w:val="21"/>
        </w:numPr>
        <w:spacing w:before="120"/>
        <w:ind w:left="690" w:hanging="240"/>
        <w:rPr>
          <w:rFonts w:ascii="宋体" w:eastAsia="宋体" w:hAnsi="Times New Roman"/>
          <w:color w:val="000000"/>
        </w:rPr>
      </w:pPr>
      <w:r w:rsidRPr="004F64BE">
        <w:rPr>
          <w:rFonts w:ascii="宋体" w:eastAsia="宋体" w:hAnsi="Times New Roman" w:hint="eastAsia"/>
          <w:color w:val="000000"/>
        </w:rPr>
        <w:t>代表海立马瑞利在印度尼西亚成立合资公司</w:t>
      </w:r>
    </w:p>
    <w:p w14:paraId="283EB633" w14:textId="77777777" w:rsidR="004F64BE" w:rsidRDefault="004F64BE" w:rsidP="004F64BE">
      <w:pPr>
        <w:pStyle w:val="af5"/>
        <w:spacing w:after="0" w:line="480" w:lineRule="auto"/>
        <w:rPr>
          <w:rFonts w:ascii="宋体" w:eastAsia="宋体" w:hAnsi="宋体"/>
          <w:b/>
          <w:sz w:val="24"/>
        </w:rPr>
      </w:pPr>
      <w:r w:rsidRPr="004F64BE">
        <w:rPr>
          <w:rFonts w:ascii="宋体" w:eastAsia="宋体" w:hAnsi="宋体" w:hint="eastAsia"/>
          <w:b/>
          <w:sz w:val="24"/>
        </w:rPr>
        <w:t>教育背景</w:t>
      </w:r>
    </w:p>
    <w:p w14:paraId="3AE534BD" w14:textId="77777777" w:rsidR="004F64BE" w:rsidRDefault="004F64BE" w:rsidP="004F64BE">
      <w:pPr>
        <w:pStyle w:val="af5"/>
        <w:numPr>
          <w:ilvl w:val="0"/>
          <w:numId w:val="22"/>
        </w:numPr>
        <w:spacing w:before="120"/>
        <w:ind w:left="690" w:hanging="240"/>
        <w:rPr>
          <w:rFonts w:ascii="宋体" w:eastAsia="宋体" w:hAnsi="Times New Roman"/>
          <w:color w:val="000000"/>
        </w:rPr>
      </w:pPr>
      <w:r w:rsidRPr="004F64BE">
        <w:rPr>
          <w:rFonts w:ascii="宋体" w:eastAsia="宋体" w:hAnsi="Times New Roman" w:hint="eastAsia"/>
          <w:color w:val="000000"/>
        </w:rPr>
        <w:t>悉尼大学法学院，商法硕士</w:t>
      </w:r>
    </w:p>
    <w:p w14:paraId="65125C19" w14:textId="77777777" w:rsidR="004F64BE" w:rsidRDefault="004F64BE" w:rsidP="004F64BE">
      <w:pPr>
        <w:pStyle w:val="af5"/>
        <w:spacing w:after="0" w:line="480" w:lineRule="auto"/>
        <w:rPr>
          <w:rFonts w:ascii="宋体" w:eastAsia="宋体" w:hAnsi="宋体"/>
          <w:b/>
          <w:sz w:val="24"/>
        </w:rPr>
      </w:pPr>
      <w:r w:rsidRPr="004F64BE">
        <w:rPr>
          <w:rFonts w:ascii="宋体" w:eastAsia="宋体" w:hAnsi="宋体" w:hint="eastAsia"/>
          <w:b/>
          <w:sz w:val="24"/>
        </w:rPr>
        <w:t>执业资格</w:t>
      </w:r>
    </w:p>
    <w:p w14:paraId="67315608" w14:textId="77777777" w:rsidR="004F64BE" w:rsidRDefault="004F64BE" w:rsidP="004F64BE">
      <w:pPr>
        <w:pStyle w:val="af5"/>
        <w:numPr>
          <w:ilvl w:val="0"/>
          <w:numId w:val="23"/>
        </w:numPr>
        <w:spacing w:before="120"/>
        <w:ind w:left="690" w:hanging="240"/>
        <w:rPr>
          <w:rFonts w:ascii="宋体" w:eastAsia="宋体" w:hAnsi="Times New Roman"/>
          <w:color w:val="000000"/>
        </w:rPr>
      </w:pPr>
      <w:r w:rsidRPr="004F64BE">
        <w:rPr>
          <w:rFonts w:ascii="宋体" w:eastAsia="宋体" w:hAnsi="Times New Roman" w:hint="eastAsia"/>
          <w:color w:val="000000"/>
        </w:rPr>
        <w:t>中华人民共和国执业律师</w:t>
      </w:r>
    </w:p>
    <w:p w14:paraId="58E1C91F" w14:textId="77777777" w:rsidR="004F64BE" w:rsidRDefault="004F64BE" w:rsidP="004F64BE">
      <w:pPr>
        <w:pStyle w:val="af5"/>
        <w:spacing w:after="0" w:line="480" w:lineRule="auto"/>
        <w:rPr>
          <w:rFonts w:ascii="宋体" w:eastAsia="宋体" w:hAnsi="宋体"/>
          <w:b/>
          <w:sz w:val="24"/>
        </w:rPr>
      </w:pPr>
      <w:r w:rsidRPr="004F64BE">
        <w:rPr>
          <w:rFonts w:ascii="宋体" w:eastAsia="宋体" w:hAnsi="宋体" w:hint="eastAsia"/>
          <w:b/>
          <w:sz w:val="24"/>
        </w:rPr>
        <w:t>职业背景</w:t>
      </w:r>
    </w:p>
    <w:p w14:paraId="4F0A196B" w14:textId="7EB49FCA" w:rsidR="00A46A04" w:rsidRPr="004F64BE" w:rsidRDefault="004F64BE" w:rsidP="004F64BE">
      <w:pPr>
        <w:pStyle w:val="af5"/>
        <w:numPr>
          <w:ilvl w:val="0"/>
          <w:numId w:val="24"/>
        </w:numPr>
        <w:spacing w:before="120"/>
        <w:ind w:left="690" w:hanging="240"/>
        <w:rPr>
          <w:rFonts w:ascii="宋体" w:eastAsia="宋体" w:hAnsi="Times New Roman"/>
          <w:color w:val="000000"/>
        </w:rPr>
      </w:pPr>
      <w:r w:rsidRPr="004F64BE">
        <w:rPr>
          <w:rFonts w:ascii="宋体" w:eastAsia="宋体" w:hAnsi="Times New Roman" w:hint="eastAsia"/>
          <w:color w:val="000000"/>
        </w:rPr>
        <w:t>李律师</w:t>
      </w:r>
      <w:r w:rsidRPr="004F64BE">
        <w:rPr>
          <w:rFonts w:ascii="宋体" w:eastAsia="宋体" w:hAnsi="Times New Roman"/>
          <w:color w:val="000000"/>
        </w:rPr>
        <w:t>2021年加入方达律师事务所。在此之前，她在一家国内知名律师事务所的北京办公室工作。</w:t>
      </w:r>
    </w:p>
    <w:sectPr w:rsidR="00A46A04" w:rsidRPr="004F64BE"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1D0FC2"/>
    <w:multiLevelType w:val="singleLevel"/>
    <w:tmpl w:val="E4C4B89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83E55FA"/>
    <w:multiLevelType w:val="singleLevel"/>
    <w:tmpl w:val="43EE7D8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BCC48C8"/>
    <w:multiLevelType w:val="singleLevel"/>
    <w:tmpl w:val="EAFC57C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BD404D9"/>
    <w:multiLevelType w:val="singleLevel"/>
    <w:tmpl w:val="5E92A07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28A59A1"/>
    <w:multiLevelType w:val="singleLevel"/>
    <w:tmpl w:val="4F7815A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4651B65"/>
    <w:multiLevelType w:val="singleLevel"/>
    <w:tmpl w:val="CF16380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4AB1DCE"/>
    <w:multiLevelType w:val="singleLevel"/>
    <w:tmpl w:val="F0DEF8D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77923AC"/>
    <w:multiLevelType w:val="singleLevel"/>
    <w:tmpl w:val="C1D0FBF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8447D6D"/>
    <w:multiLevelType w:val="singleLevel"/>
    <w:tmpl w:val="7E66AFE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B271FB7"/>
    <w:multiLevelType w:val="singleLevel"/>
    <w:tmpl w:val="29B680D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34DB7CCF"/>
    <w:multiLevelType w:val="singleLevel"/>
    <w:tmpl w:val="D7267EC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469E65DC"/>
    <w:multiLevelType w:val="singleLevel"/>
    <w:tmpl w:val="EC76320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95202AB"/>
    <w:multiLevelType w:val="singleLevel"/>
    <w:tmpl w:val="076E87B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D9B7C06"/>
    <w:multiLevelType w:val="singleLevel"/>
    <w:tmpl w:val="260E51E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DF62757"/>
    <w:multiLevelType w:val="singleLevel"/>
    <w:tmpl w:val="037A9C7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E682C9A"/>
    <w:multiLevelType w:val="singleLevel"/>
    <w:tmpl w:val="78B2CD2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17655F7"/>
    <w:multiLevelType w:val="singleLevel"/>
    <w:tmpl w:val="AB0EC23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6C275EBE"/>
    <w:multiLevelType w:val="singleLevel"/>
    <w:tmpl w:val="E4C4B89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73EC7A83"/>
    <w:multiLevelType w:val="singleLevel"/>
    <w:tmpl w:val="B4CEDAC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7582468E"/>
    <w:multiLevelType w:val="singleLevel"/>
    <w:tmpl w:val="B408458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7A1121C7"/>
    <w:multiLevelType w:val="singleLevel"/>
    <w:tmpl w:val="0284D01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FBF25FF"/>
    <w:multiLevelType w:val="singleLevel"/>
    <w:tmpl w:val="1F6A7F98"/>
    <w:lvl w:ilvl="0">
      <w:start w:val="1"/>
      <w:numFmt w:val="bullet"/>
      <w:lvlText w:val=""/>
      <w:lvlJc w:val="left"/>
      <w:pPr>
        <w:tabs>
          <w:tab w:val="num" w:pos="200"/>
        </w:tabs>
        <w:ind w:left="200" w:hanging="200"/>
      </w:pPr>
      <w:rPr>
        <w:rFonts w:ascii="Wingdings" w:hAnsi="Wingdings" w:hint="default"/>
        <w:sz w:val="16"/>
      </w:rPr>
    </w:lvl>
  </w:abstractNum>
  <w:num w:numId="1">
    <w:abstractNumId w:val="10"/>
  </w:num>
  <w:num w:numId="2">
    <w:abstractNumId w:val="12"/>
  </w:num>
  <w:num w:numId="3">
    <w:abstractNumId w:val="15"/>
  </w:num>
  <w:num w:numId="4">
    <w:abstractNumId w:val="13"/>
  </w:num>
  <w:num w:numId="5">
    <w:abstractNumId w:val="23"/>
  </w:num>
  <w:num w:numId="6">
    <w:abstractNumId w:val="11"/>
  </w:num>
  <w:num w:numId="7">
    <w:abstractNumId w:val="6"/>
  </w:num>
  <w:num w:numId="8">
    <w:abstractNumId w:val="14"/>
  </w:num>
  <w:num w:numId="9">
    <w:abstractNumId w:val="21"/>
  </w:num>
  <w:num w:numId="10">
    <w:abstractNumId w:val="1"/>
  </w:num>
  <w:num w:numId="11">
    <w:abstractNumId w:val="7"/>
  </w:num>
  <w:num w:numId="12">
    <w:abstractNumId w:val="5"/>
  </w:num>
  <w:num w:numId="13">
    <w:abstractNumId w:val="8"/>
  </w:num>
  <w:num w:numId="14">
    <w:abstractNumId w:val="9"/>
  </w:num>
  <w:num w:numId="15">
    <w:abstractNumId w:val="20"/>
  </w:num>
  <w:num w:numId="16">
    <w:abstractNumId w:val="22"/>
  </w:num>
  <w:num w:numId="17">
    <w:abstractNumId w:val="18"/>
  </w:num>
  <w:num w:numId="18">
    <w:abstractNumId w:val="3"/>
  </w:num>
  <w:num w:numId="19">
    <w:abstractNumId w:val="17"/>
  </w:num>
  <w:num w:numId="20">
    <w:abstractNumId w:val="16"/>
  </w:num>
  <w:num w:numId="21">
    <w:abstractNumId w:val="4"/>
  </w:num>
  <w:num w:numId="22">
    <w:abstractNumId w:val="2"/>
  </w:num>
  <w:num w:numId="23">
    <w:abstractNumId w:val="19"/>
  </w:num>
  <w:num w:numId="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4F64B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4F64BE"/>
    <w:pPr>
      <w:spacing w:after="120"/>
    </w:pPr>
  </w:style>
  <w:style w:type="character" w:customStyle="1" w:styleId="af6">
    <w:name w:val="正文文本 字符"/>
    <w:basedOn w:val="a0"/>
    <w:link w:val="af5"/>
    <w:uiPriority w:val="99"/>
    <w:rsid w:val="004F64BE"/>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44681B-7FAA-42BC-9781-4B3D8D2F6F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138</Words>
  <Characters>788</Characters>
  <Application>Microsoft Office Word</Application>
  <DocSecurity>0</DocSecurity>
  <Lines>6</Lines>
  <Paragraphs>1</Paragraphs>
  <ScaleCrop>false</ScaleCrop>
  <Company/>
  <LinksUpToDate>false</LinksUpToDate>
  <CharactersWithSpaces>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2026-08-25T18:06:00Z</dcterms:created>
  <dcterms:modified xsi:type="dcterms:W3CDTF">2026-08-25T18:06:00Z</dcterms:modified>
</cp:coreProperties>
</file>