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A541FF8" w:rsidR="0049405C" w:rsidRPr="00187BAA" w:rsidRDefault="00D86B2C" w:rsidP="00D86B2C">
            <w:pPr>
              <w:spacing w:line="720" w:lineRule="auto"/>
              <w:rPr>
                <w:rFonts w:ascii="宋体" w:eastAsia="宋体" w:hAnsi="宋体"/>
                <w:color w:val="545551"/>
              </w:rPr>
            </w:pPr>
            <w:bookmarkStart w:id="0" w:name="xingming"/>
            <w:bookmarkStart w:id="1" w:name="_GoBack"/>
            <w:bookmarkEnd w:id="1"/>
            <w:r w:rsidRPr="00D86B2C">
              <w:rPr>
                <w:rFonts w:ascii="宋体" w:eastAsia="宋体" w:hAnsi="Times New Roman" w:hint="eastAsia"/>
                <w:b/>
                <w:color w:val="000000"/>
                <w:sz w:val="48"/>
              </w:rPr>
              <w:t>刘利柯</w:t>
            </w:r>
            <w:bookmarkEnd w:id="0"/>
          </w:p>
          <w:p w14:paraId="706EB16B" w14:textId="685B644D" w:rsidR="0049405C" w:rsidRPr="00187BAA" w:rsidRDefault="00D86B2C" w:rsidP="00D86B2C">
            <w:pPr>
              <w:spacing w:line="360" w:lineRule="auto"/>
              <w:rPr>
                <w:rFonts w:ascii="宋体" w:eastAsia="宋体" w:hAnsi="宋体"/>
                <w:b/>
                <w:bCs/>
                <w:color w:val="545551"/>
              </w:rPr>
            </w:pPr>
            <w:bookmarkStart w:id="2" w:name="didian"/>
            <w:r w:rsidRPr="00D86B2C">
              <w:rPr>
                <w:rFonts w:ascii="宋体" w:eastAsia="宋体" w:hAnsi="Times New Roman" w:hint="eastAsia"/>
                <w:b/>
                <w:bCs/>
                <w:color w:val="000000"/>
              </w:rPr>
              <w:t>资深律师·北京</w:t>
            </w:r>
            <w:bookmarkEnd w:id="2"/>
          </w:p>
          <w:p w14:paraId="6199424A" w14:textId="1523DDCE" w:rsidR="0049405C" w:rsidRPr="00187BAA" w:rsidRDefault="00D86B2C" w:rsidP="00D86B2C">
            <w:pPr>
              <w:spacing w:line="360" w:lineRule="auto"/>
              <w:rPr>
                <w:rFonts w:ascii="宋体" w:eastAsia="宋体" w:hAnsi="宋体"/>
                <w:color w:val="545551"/>
              </w:rPr>
            </w:pPr>
            <w:bookmarkStart w:id="3" w:name="dianhua"/>
            <w:r w:rsidRPr="00D86B2C">
              <w:rPr>
                <w:rFonts w:ascii="宋体" w:eastAsia="宋体" w:hAnsi="Times New Roman"/>
                <w:color w:val="000000"/>
              </w:rPr>
              <w:t>+86 10 5769 4243</w:t>
            </w:r>
            <w:bookmarkEnd w:id="3"/>
          </w:p>
          <w:p w14:paraId="4F910ACA" w14:textId="1C00D6AB" w:rsidR="0049405C" w:rsidRPr="00187BAA" w:rsidRDefault="00D86B2C" w:rsidP="00D86B2C">
            <w:pPr>
              <w:spacing w:line="360" w:lineRule="auto"/>
              <w:rPr>
                <w:rFonts w:ascii="宋体" w:eastAsia="宋体" w:hAnsi="宋体"/>
                <w:color w:val="000000"/>
              </w:rPr>
            </w:pPr>
            <w:bookmarkStart w:id="4" w:name="youxiang"/>
            <w:r w:rsidRPr="00D86B2C">
              <w:rPr>
                <w:rFonts w:ascii="宋体" w:eastAsia="宋体" w:hAnsi="Times New Roman"/>
                <w:color w:val="000000"/>
              </w:rPr>
              <w:t>derek.liu@fangdalaw.com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3FC9797" w:rsidR="0049405C" w:rsidRPr="00187BAA" w:rsidRDefault="00D86B2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506248" wp14:editId="76C1EB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3825C0" w:rsidR="009465FB" w:rsidRPr="00187BAA" w:rsidRDefault="00D86B2C" w:rsidP="007177F3">
            <w:pPr>
              <w:rPr>
                <w:rFonts w:ascii="宋体" w:eastAsia="宋体" w:hAnsi="宋体"/>
                <w:color w:val="000000"/>
                <w:szCs w:val="21"/>
              </w:rPr>
            </w:pPr>
            <w:bookmarkStart w:id="6" w:name="zhiyelingyu"/>
            <w:r w:rsidRPr="00D86B2C">
              <w:rPr>
                <w:rFonts w:ascii="宋体" w:eastAsia="宋体" w:hAnsi="Times New Roman" w:hint="eastAsia"/>
                <w:color w:val="000000"/>
                <w:szCs w:val="21"/>
              </w:rPr>
              <w:t>刘律师专长于分析和解决跨境投资交易涉及的反垄断审查和国家安全审查问题。除此之外，刘律师也经常协助客户处理反垄断相关的政府调查和民事诉讼，并帮助客户建立和完善反垄断合规体系。</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429E2B" w14:textId="77777777" w:rsidR="00D86B2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9D2014" w14:textId="77777777" w:rsidR="00D86B2C" w:rsidRDefault="00D86B2C" w:rsidP="00D86B2C">
      <w:pPr>
        <w:pStyle w:val="af5"/>
        <w:spacing w:after="0" w:line="480" w:lineRule="auto"/>
        <w:rPr>
          <w:rFonts w:ascii="宋体" w:eastAsia="宋体" w:hAnsi="宋体"/>
          <w:b/>
          <w:sz w:val="24"/>
        </w:rPr>
      </w:pPr>
      <w:r w:rsidRPr="00D86B2C">
        <w:rPr>
          <w:rFonts w:ascii="宋体" w:eastAsia="宋体" w:hAnsi="宋体" w:hint="eastAsia"/>
          <w:b/>
          <w:sz w:val="24"/>
        </w:rPr>
        <w:t>近期代理的主要案件</w:t>
      </w:r>
    </w:p>
    <w:p w14:paraId="41D3C2EC" w14:textId="77777777" w:rsidR="00D86B2C" w:rsidRDefault="00D86B2C" w:rsidP="00D86B2C">
      <w:pPr>
        <w:pStyle w:val="af5"/>
        <w:spacing w:before="120"/>
        <w:rPr>
          <w:rFonts w:ascii="宋体" w:eastAsia="宋体" w:hAnsi="Times New Roman"/>
          <w:color w:val="000000"/>
        </w:rPr>
      </w:pPr>
      <w:r w:rsidRPr="00D86B2C">
        <w:rPr>
          <w:rFonts w:ascii="宋体" w:eastAsia="宋体" w:hAnsi="Times New Roman" w:hint="eastAsia"/>
          <w:color w:val="000000"/>
        </w:rPr>
        <w:t>国家安全审查及境外投资风险合规</w:t>
      </w:r>
    </w:p>
    <w:p w14:paraId="6EF8F47D" w14:textId="77777777" w:rsidR="00D86B2C" w:rsidRDefault="00D86B2C" w:rsidP="00D86B2C">
      <w:pPr>
        <w:pStyle w:val="af5"/>
        <w:numPr>
          <w:ilvl w:val="0"/>
          <w:numId w:val="4"/>
        </w:numPr>
        <w:spacing w:before="120"/>
        <w:ind w:left="690" w:hanging="240"/>
        <w:rPr>
          <w:rFonts w:ascii="宋体" w:eastAsia="宋体" w:hAnsi="Times New Roman"/>
          <w:color w:val="000000"/>
        </w:rPr>
      </w:pPr>
      <w:r w:rsidRPr="00D86B2C">
        <w:rPr>
          <w:rFonts w:ascii="宋体" w:eastAsia="宋体" w:hAnsi="Times New Roman" w:hint="eastAsia"/>
          <w:color w:val="000000"/>
        </w:rPr>
        <w:t>代表新华保险，就其投资一支专注医疗健康领域的美元基金提供境外多司法辖区的投资风险合规分析服务；</w:t>
      </w:r>
    </w:p>
    <w:p w14:paraId="5AE225D2" w14:textId="77777777" w:rsidR="00D86B2C" w:rsidRDefault="00D86B2C" w:rsidP="00D86B2C">
      <w:pPr>
        <w:pStyle w:val="af5"/>
        <w:numPr>
          <w:ilvl w:val="0"/>
          <w:numId w:val="5"/>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代表一家日本综合商社，就其收购一家种子企业的交易进行中国国家安全审查申报；</w:t>
      </w:r>
    </w:p>
    <w:p w14:paraId="4AF12476" w14:textId="77777777" w:rsidR="00D86B2C" w:rsidRDefault="00D86B2C" w:rsidP="00D86B2C">
      <w:pPr>
        <w:pStyle w:val="af5"/>
        <w:numPr>
          <w:ilvl w:val="0"/>
          <w:numId w:val="6"/>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代表一家全球性工业技术企业，就其收购一家测试和测量系统企业的交易进行中国国家安全审查申报，并争取到监管机构不启动正式审查程序的结果；</w:t>
      </w:r>
    </w:p>
    <w:p w14:paraId="23AF3834" w14:textId="77777777" w:rsidR="00D86B2C" w:rsidRDefault="00D86B2C" w:rsidP="00D86B2C">
      <w:pPr>
        <w:pStyle w:val="af5"/>
        <w:numPr>
          <w:ilvl w:val="0"/>
          <w:numId w:val="7"/>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代表一家美国化工企业，就其与某矿产企业在中国境内设立锂加工厂的交易涉及的中国国家安全事宜与中国监管机构进行商谈；</w:t>
      </w:r>
    </w:p>
    <w:p w14:paraId="7689B6C9" w14:textId="77777777" w:rsidR="00D86B2C" w:rsidRDefault="00D86B2C" w:rsidP="00D86B2C">
      <w:pPr>
        <w:pStyle w:val="af5"/>
        <w:numPr>
          <w:ilvl w:val="0"/>
          <w:numId w:val="8"/>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代表一家全球领先私募股权投资机构，就其收购一家中国前十的连锁零售药房进行中国国家安全审查申报；</w:t>
      </w:r>
    </w:p>
    <w:p w14:paraId="615DEB21" w14:textId="77777777" w:rsidR="00D86B2C" w:rsidRDefault="00D86B2C" w:rsidP="00D86B2C">
      <w:pPr>
        <w:pStyle w:val="af5"/>
        <w:numPr>
          <w:ilvl w:val="0"/>
          <w:numId w:val="9"/>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代表一家全球领先的另类资产管理公司，就其收购一家中国领先的办公楼运营商的交易涉及的中国国家安全事宜与中国监管机构进行商谈，并进行国家安全审查申报；</w:t>
      </w:r>
    </w:p>
    <w:p w14:paraId="12CE7EED" w14:textId="77777777" w:rsidR="00D86B2C" w:rsidRDefault="00D86B2C" w:rsidP="00D86B2C">
      <w:pPr>
        <w:pStyle w:val="af5"/>
        <w:numPr>
          <w:ilvl w:val="0"/>
          <w:numId w:val="10"/>
        </w:numPr>
        <w:spacing w:before="120"/>
        <w:ind w:left="690" w:hanging="240"/>
        <w:rPr>
          <w:rFonts w:ascii="宋体" w:eastAsia="宋体" w:hAnsi="Times New Roman"/>
          <w:color w:val="000000"/>
        </w:rPr>
      </w:pPr>
      <w:r w:rsidRPr="00D86B2C">
        <w:rPr>
          <w:rFonts w:ascii="宋体" w:eastAsia="宋体" w:hAnsi="Times New Roman" w:hint="eastAsia"/>
          <w:color w:val="000000"/>
        </w:rPr>
        <w:t>代表一个由多支私募基金和创始人组成的买方团，就其针对一家“中概股”上市公司的私有化交易涉及的中国国家安全事宜与监管机构进行商谈；</w:t>
      </w:r>
    </w:p>
    <w:p w14:paraId="139D628F" w14:textId="77777777" w:rsidR="00D86B2C" w:rsidRDefault="00D86B2C" w:rsidP="00D86B2C">
      <w:pPr>
        <w:pStyle w:val="af5"/>
        <w:numPr>
          <w:ilvl w:val="0"/>
          <w:numId w:val="11"/>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代表一家日本工业企业，就其多起公开要约收购交易涉及的中国国家安全事宜提供法律意见；</w:t>
      </w:r>
    </w:p>
    <w:p w14:paraId="21A854B1" w14:textId="77777777" w:rsidR="00D86B2C" w:rsidRDefault="00D86B2C" w:rsidP="00D86B2C">
      <w:pPr>
        <w:pStyle w:val="af5"/>
        <w:numPr>
          <w:ilvl w:val="0"/>
          <w:numId w:val="12"/>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代表一家日本综合机电制造商，就其私有化交易涉及的中国国家安全事宜提供法律意见；</w:t>
      </w:r>
    </w:p>
    <w:p w14:paraId="4BF60CAA" w14:textId="77777777" w:rsidR="00D86B2C" w:rsidRDefault="00D86B2C" w:rsidP="00D86B2C">
      <w:pPr>
        <w:pStyle w:val="af5"/>
        <w:numPr>
          <w:ilvl w:val="0"/>
          <w:numId w:val="13"/>
        </w:numPr>
        <w:spacing w:before="120"/>
        <w:ind w:left="690" w:hanging="240"/>
        <w:rPr>
          <w:rFonts w:ascii="宋体" w:eastAsia="宋体" w:hAnsi="Times New Roman"/>
          <w:color w:val="000000"/>
        </w:rPr>
      </w:pPr>
      <w:r w:rsidRPr="00D86B2C">
        <w:rPr>
          <w:rFonts w:ascii="宋体" w:eastAsia="宋体" w:hAnsi="Times New Roman" w:hint="eastAsia"/>
          <w:color w:val="000000"/>
        </w:rPr>
        <w:t>代表黑石公司、</w:t>
      </w:r>
      <w:r w:rsidRPr="00D86B2C">
        <w:rPr>
          <w:rFonts w:ascii="宋体" w:eastAsia="宋体" w:hAnsi="Times New Roman"/>
          <w:color w:val="000000"/>
        </w:rPr>
        <w:t>KKR、BPEA EQT、红杉资本、高瓴资本等知名投资机构，就其众多在华投资并购交易涉及的中国国家安全事宜提供法律意见。</w:t>
      </w:r>
    </w:p>
    <w:p w14:paraId="66127CF0" w14:textId="77777777" w:rsidR="00D86B2C" w:rsidRDefault="00D86B2C" w:rsidP="00D86B2C">
      <w:pPr>
        <w:pStyle w:val="af5"/>
        <w:spacing w:before="120"/>
        <w:rPr>
          <w:rFonts w:ascii="宋体" w:eastAsia="宋体" w:hAnsi="Times New Roman"/>
          <w:color w:val="000000"/>
        </w:rPr>
      </w:pPr>
      <w:r w:rsidRPr="00D86B2C">
        <w:rPr>
          <w:rFonts w:ascii="宋体" w:eastAsia="宋体" w:hAnsi="Times New Roman" w:hint="eastAsia"/>
          <w:color w:val="000000"/>
        </w:rPr>
        <w:t>反垄断申报、调查及诉讼</w:t>
      </w:r>
    </w:p>
    <w:p w14:paraId="5C6F4A46" w14:textId="77777777" w:rsidR="00D86B2C" w:rsidRDefault="00D86B2C" w:rsidP="00D86B2C">
      <w:pPr>
        <w:pStyle w:val="af5"/>
        <w:numPr>
          <w:ilvl w:val="0"/>
          <w:numId w:val="14"/>
        </w:numPr>
        <w:spacing w:before="120"/>
        <w:ind w:left="690" w:hanging="240"/>
        <w:rPr>
          <w:rFonts w:ascii="宋体" w:eastAsia="宋体" w:hAnsi="Times New Roman"/>
          <w:color w:val="000000"/>
        </w:rPr>
      </w:pPr>
      <w:r w:rsidRPr="00D86B2C">
        <w:rPr>
          <w:rFonts w:ascii="宋体" w:eastAsia="宋体" w:hAnsi="Times New Roman" w:hint="eastAsia"/>
          <w:color w:val="000000"/>
        </w:rPr>
        <w:t>代表</w:t>
      </w:r>
      <w:r w:rsidRPr="00D86B2C">
        <w:rPr>
          <w:rFonts w:ascii="宋体" w:eastAsia="宋体" w:hAnsi="Times New Roman"/>
          <w:color w:val="000000"/>
        </w:rPr>
        <w:t>SQM，就其与智利国家铜业成立锂开发公私合营企业在中国进行反垄断申报，并协助其执行国家市场监管总局附加的行为性限制性条件；</w:t>
      </w:r>
    </w:p>
    <w:p w14:paraId="7172DD88" w14:textId="77777777" w:rsidR="00D86B2C" w:rsidRDefault="00D86B2C" w:rsidP="00D86B2C">
      <w:pPr>
        <w:pStyle w:val="af5"/>
        <w:numPr>
          <w:ilvl w:val="0"/>
          <w:numId w:val="15"/>
        </w:numPr>
        <w:spacing w:before="120"/>
        <w:ind w:left="690" w:hanging="240"/>
        <w:rPr>
          <w:rFonts w:ascii="宋体" w:eastAsia="宋体" w:hAnsi="Times New Roman"/>
          <w:color w:val="000000"/>
        </w:rPr>
      </w:pPr>
      <w:r w:rsidRPr="00D86B2C">
        <w:rPr>
          <w:rFonts w:ascii="宋体" w:eastAsia="宋体" w:hAnsi="Times New Roman" w:hint="eastAsia"/>
          <w:color w:val="000000"/>
        </w:rPr>
        <w:t>代表</w:t>
      </w:r>
      <w:r w:rsidRPr="00D86B2C">
        <w:rPr>
          <w:rFonts w:ascii="宋体" w:eastAsia="宋体" w:hAnsi="Times New Roman"/>
          <w:color w:val="000000"/>
        </w:rPr>
        <w:t>TCL华星光电，就其收购LG Display中国液晶面板业务的交易在中国进行反垄断申报，并统筹协调韩国、越南、波兰、土耳其、墨西哥、埃及等6个司法辖区的反垄断申报；</w:t>
      </w:r>
    </w:p>
    <w:p w14:paraId="40261DC5" w14:textId="77777777" w:rsidR="00D86B2C" w:rsidRDefault="00D86B2C" w:rsidP="00D86B2C">
      <w:pPr>
        <w:pStyle w:val="af5"/>
        <w:numPr>
          <w:ilvl w:val="0"/>
          <w:numId w:val="16"/>
        </w:numPr>
        <w:spacing w:before="120"/>
        <w:ind w:left="690" w:hanging="240"/>
        <w:rPr>
          <w:rFonts w:ascii="宋体" w:eastAsia="宋体" w:hAnsi="Times New Roman"/>
          <w:color w:val="000000"/>
        </w:rPr>
      </w:pPr>
      <w:r w:rsidRPr="00D86B2C">
        <w:rPr>
          <w:rFonts w:ascii="宋体" w:eastAsia="宋体" w:hAnsi="Times New Roman" w:hint="eastAsia"/>
          <w:color w:val="000000"/>
        </w:rPr>
        <w:t>代表远景能源，就其与沙特公共投资基金（</w:t>
      </w:r>
      <w:r w:rsidRPr="00D86B2C">
        <w:rPr>
          <w:rFonts w:ascii="宋体" w:eastAsia="宋体" w:hAnsi="Times New Roman"/>
          <w:color w:val="000000"/>
        </w:rPr>
        <w:t>PIF）和Vision Industries在沙特设立风电机组合营企业的交易统筹协调沙特、埃及、摩洛哥和东南非共同市场（COMESA）等4个司法辖区的反垄断申报；</w:t>
      </w:r>
    </w:p>
    <w:p w14:paraId="59DA710D" w14:textId="77777777" w:rsidR="00D86B2C" w:rsidRDefault="00D86B2C" w:rsidP="00D86B2C">
      <w:pPr>
        <w:pStyle w:val="af5"/>
        <w:numPr>
          <w:ilvl w:val="0"/>
          <w:numId w:val="17"/>
        </w:numPr>
        <w:spacing w:before="120"/>
        <w:ind w:left="690" w:hanging="240"/>
        <w:rPr>
          <w:rFonts w:ascii="宋体" w:eastAsia="宋体" w:hAnsi="Times New Roman"/>
          <w:color w:val="000000"/>
        </w:rPr>
      </w:pPr>
      <w:r w:rsidRPr="00D86B2C">
        <w:rPr>
          <w:rFonts w:ascii="宋体" w:eastAsia="宋体" w:hAnsi="Times New Roman" w:hint="eastAsia"/>
          <w:color w:val="000000"/>
        </w:rPr>
        <w:t>代表阿斯利康，就其收购用于治疗慢性肾病贫血的创新药物罗沙司他（</w:t>
      </w:r>
      <w:r w:rsidRPr="00D86B2C">
        <w:rPr>
          <w:rFonts w:ascii="宋体" w:eastAsia="宋体" w:hAnsi="Times New Roman"/>
          <w:color w:val="000000"/>
        </w:rPr>
        <w:t>Roxadustat）在中国的全部权利在中国进行反垄断申报；</w:t>
      </w:r>
    </w:p>
    <w:p w14:paraId="174A2BEB" w14:textId="77777777" w:rsidR="00D86B2C" w:rsidRDefault="00D86B2C" w:rsidP="00D86B2C">
      <w:pPr>
        <w:pStyle w:val="af5"/>
        <w:numPr>
          <w:ilvl w:val="0"/>
          <w:numId w:val="18"/>
        </w:numPr>
        <w:spacing w:before="120"/>
        <w:ind w:left="690" w:hanging="240"/>
        <w:rPr>
          <w:rFonts w:ascii="宋体" w:eastAsia="宋体" w:hAnsi="Times New Roman"/>
          <w:color w:val="000000"/>
        </w:rPr>
      </w:pPr>
      <w:r w:rsidRPr="00D86B2C">
        <w:rPr>
          <w:rFonts w:ascii="宋体" w:eastAsia="宋体" w:hAnsi="Times New Roman" w:hint="eastAsia"/>
          <w:color w:val="000000"/>
        </w:rPr>
        <w:t>代表艾默生电气，就其收购美国国家仪器公司的交易在中国进行反垄断申报；</w:t>
      </w:r>
    </w:p>
    <w:p w14:paraId="0B5D28B6" w14:textId="77777777" w:rsidR="00D86B2C" w:rsidRDefault="00D86B2C" w:rsidP="00D86B2C">
      <w:pPr>
        <w:pStyle w:val="af5"/>
        <w:numPr>
          <w:ilvl w:val="0"/>
          <w:numId w:val="19"/>
        </w:numPr>
        <w:spacing w:before="120"/>
        <w:ind w:left="690" w:hanging="240"/>
        <w:rPr>
          <w:rFonts w:ascii="宋体" w:eastAsia="宋体" w:hAnsi="Times New Roman"/>
          <w:color w:val="000000"/>
        </w:rPr>
      </w:pPr>
      <w:r w:rsidRPr="00D86B2C">
        <w:rPr>
          <w:rFonts w:ascii="宋体" w:eastAsia="宋体" w:hAnsi="Times New Roman" w:hint="eastAsia"/>
          <w:color w:val="000000"/>
        </w:rPr>
        <w:t>代表杜邦公司，就其向塞拉尼斯公司出售其全球交通与材料业务的交易在中国进行反垄断申报；</w:t>
      </w:r>
    </w:p>
    <w:p w14:paraId="349E7137" w14:textId="77777777" w:rsidR="00D86B2C" w:rsidRDefault="00D86B2C" w:rsidP="00D86B2C">
      <w:pPr>
        <w:pStyle w:val="af5"/>
        <w:numPr>
          <w:ilvl w:val="0"/>
          <w:numId w:val="20"/>
        </w:numPr>
        <w:spacing w:before="120"/>
        <w:ind w:left="690" w:hanging="240"/>
        <w:rPr>
          <w:rFonts w:ascii="宋体" w:eastAsia="宋体" w:hAnsi="Times New Roman"/>
          <w:color w:val="000000"/>
        </w:rPr>
      </w:pPr>
      <w:r w:rsidRPr="00D86B2C">
        <w:rPr>
          <w:rFonts w:ascii="宋体" w:eastAsia="宋体" w:hAnsi="Times New Roman" w:hint="eastAsia"/>
          <w:color w:val="000000"/>
        </w:rPr>
        <w:t>代表太古集团，就其与中粮集团重组可口可乐公司在华装瓶商业务的交易在中国进行反垄断申报；</w:t>
      </w:r>
    </w:p>
    <w:p w14:paraId="0E960362" w14:textId="77777777" w:rsidR="00D86B2C" w:rsidRDefault="00D86B2C" w:rsidP="00D86B2C">
      <w:pPr>
        <w:pStyle w:val="af5"/>
        <w:numPr>
          <w:ilvl w:val="0"/>
          <w:numId w:val="21"/>
        </w:numPr>
        <w:spacing w:before="120"/>
        <w:ind w:left="690" w:hanging="240"/>
        <w:rPr>
          <w:rFonts w:ascii="宋体" w:eastAsia="宋体" w:hAnsi="Times New Roman"/>
          <w:color w:val="000000"/>
        </w:rPr>
      </w:pPr>
      <w:r w:rsidRPr="00D86B2C">
        <w:rPr>
          <w:rFonts w:ascii="宋体" w:eastAsia="宋体" w:hAnsi="Times New Roman" w:hint="eastAsia"/>
          <w:color w:val="000000"/>
        </w:rPr>
        <w:t>代表三井物产，就其收购隆平高科旗下的德瑞特种业在中国进行反垄断申报；</w:t>
      </w:r>
    </w:p>
    <w:p w14:paraId="6119781B" w14:textId="77777777" w:rsidR="00D86B2C" w:rsidRDefault="00D86B2C" w:rsidP="00D86B2C">
      <w:pPr>
        <w:pStyle w:val="af5"/>
        <w:numPr>
          <w:ilvl w:val="0"/>
          <w:numId w:val="22"/>
        </w:numPr>
        <w:spacing w:before="120"/>
        <w:ind w:left="690" w:hanging="240"/>
        <w:rPr>
          <w:rFonts w:ascii="宋体" w:eastAsia="宋体" w:hAnsi="Times New Roman"/>
          <w:color w:val="000000"/>
        </w:rPr>
      </w:pPr>
      <w:r w:rsidRPr="00D86B2C">
        <w:rPr>
          <w:rFonts w:ascii="宋体" w:eastAsia="宋体" w:hAnsi="Times New Roman" w:hint="eastAsia"/>
          <w:color w:val="000000"/>
        </w:rPr>
        <w:t>代表船公司</w:t>
      </w:r>
      <w:r w:rsidRPr="00D86B2C">
        <w:rPr>
          <w:rFonts w:ascii="宋体" w:eastAsia="宋体" w:hAnsi="Times New Roman"/>
          <w:color w:val="000000"/>
        </w:rPr>
        <w:t>ONE，就其收购两个位于美国西海岸的集装箱码头的交易在中国进行反垄断申报；</w:t>
      </w:r>
    </w:p>
    <w:p w14:paraId="255E1598" w14:textId="77777777" w:rsidR="00D86B2C" w:rsidRDefault="00D86B2C" w:rsidP="00D86B2C">
      <w:pPr>
        <w:pStyle w:val="af5"/>
        <w:numPr>
          <w:ilvl w:val="0"/>
          <w:numId w:val="23"/>
        </w:numPr>
        <w:spacing w:before="120"/>
        <w:ind w:left="690" w:hanging="240"/>
        <w:rPr>
          <w:rFonts w:ascii="宋体" w:eastAsia="宋体" w:hAnsi="Times New Roman"/>
          <w:color w:val="000000"/>
        </w:rPr>
      </w:pPr>
      <w:r w:rsidRPr="00D86B2C">
        <w:rPr>
          <w:rFonts w:ascii="宋体" w:eastAsia="宋体" w:hAnsi="Times New Roman" w:hint="eastAsia"/>
          <w:color w:val="000000"/>
        </w:rPr>
        <w:t>代表微博投资的假面科技，就其与网易雷火成立从事移动互动娱乐业务合营企业的交易进行网信办预审核和反垄断申报；</w:t>
      </w:r>
    </w:p>
    <w:p w14:paraId="684EAD98" w14:textId="77777777" w:rsidR="00D86B2C" w:rsidRDefault="00D86B2C" w:rsidP="00D86B2C">
      <w:pPr>
        <w:pStyle w:val="af5"/>
        <w:numPr>
          <w:ilvl w:val="0"/>
          <w:numId w:val="24"/>
        </w:numPr>
        <w:spacing w:before="120"/>
        <w:ind w:left="690" w:hanging="240"/>
        <w:rPr>
          <w:rFonts w:ascii="宋体" w:eastAsia="宋体" w:hAnsi="Times New Roman"/>
          <w:color w:val="000000"/>
        </w:rPr>
      </w:pPr>
      <w:r w:rsidRPr="00D86B2C">
        <w:rPr>
          <w:rFonts w:ascii="宋体" w:eastAsia="宋体" w:hAnsi="Times New Roman" w:hint="eastAsia"/>
          <w:color w:val="000000"/>
        </w:rPr>
        <w:t>代表同派酒店，就其与携程新设合营企业的交易在中国进行反垄断申报；</w:t>
      </w:r>
    </w:p>
    <w:p w14:paraId="7A5B6C61" w14:textId="77777777" w:rsidR="00D86B2C" w:rsidRDefault="00D86B2C" w:rsidP="00D86B2C">
      <w:pPr>
        <w:pStyle w:val="af5"/>
        <w:numPr>
          <w:ilvl w:val="0"/>
          <w:numId w:val="25"/>
        </w:numPr>
        <w:spacing w:before="120"/>
        <w:ind w:left="690" w:hanging="240"/>
        <w:rPr>
          <w:rFonts w:ascii="宋体" w:eastAsia="宋体" w:hAnsi="Times New Roman"/>
          <w:color w:val="000000"/>
        </w:rPr>
      </w:pPr>
      <w:r w:rsidRPr="00D86B2C">
        <w:rPr>
          <w:rFonts w:ascii="宋体" w:eastAsia="宋体" w:hAnsi="Times New Roman" w:hint="eastAsia"/>
          <w:color w:val="000000"/>
        </w:rPr>
        <w:t>代表华平投资集团、黑石公司、麦格理集团、</w:t>
      </w:r>
      <w:r w:rsidRPr="00D86B2C">
        <w:rPr>
          <w:rFonts w:ascii="宋体" w:eastAsia="宋体" w:hAnsi="Times New Roman"/>
          <w:color w:val="000000"/>
        </w:rPr>
        <w:t>TPG、TA Associates、鸥翎投资、红杉资本等知名投资机构，就其全球范围内众多私募股权等另类投资交易在中国进行反垄断申报；</w:t>
      </w:r>
    </w:p>
    <w:p w14:paraId="50553063" w14:textId="77777777" w:rsidR="00D86B2C" w:rsidRDefault="00D86B2C" w:rsidP="00D86B2C">
      <w:pPr>
        <w:pStyle w:val="af5"/>
        <w:numPr>
          <w:ilvl w:val="0"/>
          <w:numId w:val="26"/>
        </w:numPr>
        <w:spacing w:before="120"/>
        <w:ind w:left="690" w:hanging="240"/>
        <w:rPr>
          <w:rFonts w:ascii="宋体" w:eastAsia="宋体" w:hAnsi="Times New Roman"/>
          <w:color w:val="000000"/>
        </w:rPr>
      </w:pPr>
      <w:r w:rsidRPr="00D86B2C">
        <w:rPr>
          <w:rFonts w:ascii="宋体" w:eastAsia="宋体" w:hAnsi="Times New Roman" w:hint="eastAsia"/>
          <w:color w:val="000000"/>
        </w:rPr>
        <w:t>代表百胜中国及其全资子公司环胜信息，就其与明察哲刚新设合营企业的交易进行反垄断申报（该案是第一起获得无条件批准的涉及</w:t>
      </w:r>
      <w:r w:rsidRPr="00D86B2C">
        <w:rPr>
          <w:rFonts w:ascii="宋体" w:eastAsia="宋体" w:hAnsi="Times New Roman"/>
          <w:color w:val="000000"/>
        </w:rPr>
        <w:t>VIE架构的交易，标志着中国反垄断执法机构开始积极推动对互联网行业的执法） ；</w:t>
      </w:r>
    </w:p>
    <w:p w14:paraId="48F6FC89" w14:textId="77777777" w:rsidR="00D86B2C" w:rsidRDefault="00D86B2C" w:rsidP="00D86B2C">
      <w:pPr>
        <w:pStyle w:val="af5"/>
        <w:numPr>
          <w:ilvl w:val="0"/>
          <w:numId w:val="27"/>
        </w:numPr>
        <w:spacing w:before="120"/>
        <w:ind w:left="690" w:hanging="240"/>
        <w:rPr>
          <w:rFonts w:ascii="宋体" w:eastAsia="宋体" w:hAnsi="Times New Roman"/>
          <w:color w:val="000000"/>
        </w:rPr>
      </w:pPr>
      <w:r w:rsidRPr="00D86B2C">
        <w:rPr>
          <w:rFonts w:ascii="宋体" w:eastAsia="宋体" w:hAnsi="Times New Roman" w:hint="eastAsia"/>
          <w:color w:val="000000"/>
        </w:rPr>
        <w:t>代表陆逊梯卡集团，就其与依视路国际合并的交易进行反垄断申报，并协助其执行国家市场监管总局附加的行为性限制性条件</w:t>
      </w:r>
      <w:r w:rsidRPr="00D86B2C">
        <w:rPr>
          <w:rFonts w:ascii="宋体" w:eastAsia="宋体" w:hAnsi="Times New Roman"/>
          <w:color w:val="000000"/>
        </w:rPr>
        <w:t>*；</w:t>
      </w:r>
    </w:p>
    <w:p w14:paraId="24F4BB95" w14:textId="77777777" w:rsidR="00D86B2C" w:rsidRDefault="00D86B2C" w:rsidP="00D86B2C">
      <w:pPr>
        <w:pStyle w:val="af5"/>
        <w:numPr>
          <w:ilvl w:val="0"/>
          <w:numId w:val="28"/>
        </w:numPr>
        <w:spacing w:before="120"/>
        <w:ind w:left="690" w:hanging="240"/>
        <w:rPr>
          <w:rFonts w:ascii="宋体" w:eastAsia="宋体" w:hAnsi="Times New Roman"/>
          <w:color w:val="000000"/>
        </w:rPr>
      </w:pPr>
      <w:r w:rsidRPr="00D86B2C">
        <w:rPr>
          <w:rFonts w:ascii="宋体" w:eastAsia="宋体" w:hAnsi="Times New Roman" w:hint="eastAsia"/>
          <w:color w:val="000000"/>
        </w:rPr>
        <w:t>代表微博、阿里健康、</w:t>
      </w:r>
      <w:r w:rsidRPr="00D86B2C">
        <w:rPr>
          <w:rFonts w:ascii="宋体" w:eastAsia="宋体" w:hAnsi="Times New Roman"/>
          <w:color w:val="000000"/>
        </w:rPr>
        <w:t>58集团等互联网企业，就其多起未依法申报的交易应对国家市场监管总局调查；</w:t>
      </w:r>
    </w:p>
    <w:p w14:paraId="54440977" w14:textId="77777777" w:rsidR="00D86B2C" w:rsidRDefault="00D86B2C" w:rsidP="00D86B2C">
      <w:pPr>
        <w:pStyle w:val="af5"/>
        <w:numPr>
          <w:ilvl w:val="0"/>
          <w:numId w:val="29"/>
        </w:numPr>
        <w:spacing w:before="120"/>
        <w:ind w:left="690" w:hanging="240"/>
        <w:rPr>
          <w:rFonts w:ascii="宋体" w:eastAsia="宋体" w:hAnsi="Times New Roman"/>
          <w:color w:val="000000"/>
        </w:rPr>
      </w:pPr>
      <w:r w:rsidRPr="00D86B2C">
        <w:rPr>
          <w:rFonts w:ascii="宋体" w:eastAsia="宋体" w:hAnsi="Times New Roman" w:hint="eastAsia"/>
          <w:color w:val="000000"/>
        </w:rPr>
        <w:t>代表零食很忙，就其与赵一鸣零食合并涉及的未依法申报事项应对国家市场监管总局调查；</w:t>
      </w:r>
    </w:p>
    <w:p w14:paraId="57E81707" w14:textId="77777777" w:rsidR="00D86B2C" w:rsidRDefault="00D86B2C" w:rsidP="00D86B2C">
      <w:pPr>
        <w:pStyle w:val="af5"/>
        <w:numPr>
          <w:ilvl w:val="0"/>
          <w:numId w:val="30"/>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代表一家德国汽车厂商就国家市场监管总局针对其中国经销体系中的潜在不合理纵向限制的问询和针对潜在品牌内滥用行为的提醒敦促开展内部自查整改；</w:t>
      </w:r>
    </w:p>
    <w:p w14:paraId="3EAA19DE" w14:textId="77777777" w:rsidR="00D86B2C" w:rsidRDefault="00D86B2C" w:rsidP="00D86B2C">
      <w:pPr>
        <w:pStyle w:val="af5"/>
        <w:numPr>
          <w:ilvl w:val="0"/>
          <w:numId w:val="31"/>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代表一家德国汽车厂商应对国家市场监管总局对其涉嫌参与一起全球范围的卡特尔的调查；</w:t>
      </w:r>
    </w:p>
    <w:p w14:paraId="4BBE6FE1" w14:textId="77777777" w:rsidR="00D86B2C" w:rsidRDefault="00D86B2C" w:rsidP="00D86B2C">
      <w:pPr>
        <w:pStyle w:val="af5"/>
        <w:numPr>
          <w:ilvl w:val="0"/>
          <w:numId w:val="32"/>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代表一家欧洲医疗器械企业应对北京市场监管局对其中国经销体系中的转售价格维持行为的反垄断调查；</w:t>
      </w:r>
    </w:p>
    <w:p w14:paraId="2744A18D" w14:textId="77777777" w:rsidR="00D86B2C" w:rsidRDefault="00D86B2C" w:rsidP="00D86B2C">
      <w:pPr>
        <w:pStyle w:val="af5"/>
        <w:numPr>
          <w:ilvl w:val="0"/>
          <w:numId w:val="33"/>
        </w:numPr>
        <w:spacing w:before="120"/>
        <w:ind w:left="690" w:hanging="240"/>
        <w:rPr>
          <w:rFonts w:ascii="宋体" w:eastAsia="宋体" w:hAnsi="Times New Roman"/>
          <w:color w:val="000000"/>
        </w:rPr>
      </w:pPr>
      <w:r w:rsidRPr="00D86B2C">
        <w:rPr>
          <w:rFonts w:ascii="宋体" w:eastAsia="宋体" w:hAnsi="Times New Roman" w:hint="eastAsia"/>
          <w:color w:val="000000"/>
        </w:rPr>
        <w:t>代表高通公司，应对苹果公司在中国法院提起的关于标准专利许可的反垄断诉讼和许可费率诉讼</w:t>
      </w:r>
      <w:r w:rsidRPr="00D86B2C">
        <w:rPr>
          <w:rFonts w:ascii="宋体" w:eastAsia="宋体" w:hAnsi="Times New Roman"/>
          <w:color w:val="000000"/>
        </w:rPr>
        <w:t>*；</w:t>
      </w:r>
    </w:p>
    <w:p w14:paraId="3B49892D" w14:textId="77777777" w:rsidR="00D86B2C" w:rsidRDefault="00D86B2C" w:rsidP="00D86B2C">
      <w:pPr>
        <w:pStyle w:val="af5"/>
        <w:numPr>
          <w:ilvl w:val="0"/>
          <w:numId w:val="34"/>
        </w:numPr>
        <w:spacing w:before="120"/>
        <w:ind w:left="690" w:hanging="240"/>
        <w:rPr>
          <w:rFonts w:ascii="宋体" w:eastAsia="宋体" w:hAnsi="Times New Roman"/>
          <w:color w:val="000000"/>
        </w:rPr>
      </w:pPr>
      <w:r w:rsidRPr="00D86B2C">
        <w:rPr>
          <w:rFonts w:ascii="宋体" w:eastAsia="宋体" w:hAnsi="Times New Roman" w:hint="eastAsia"/>
          <w:color w:val="000000"/>
        </w:rPr>
        <w:t>代表一家高科技企业，在中国法院针对一家日本</w:t>
      </w:r>
      <w:r w:rsidRPr="00D86B2C">
        <w:rPr>
          <w:rFonts w:ascii="宋体" w:eastAsia="宋体" w:hAnsi="Times New Roman"/>
          <w:color w:val="000000"/>
        </w:rPr>
        <w:t>NPE实体的滥用知识产权行为提起反垄断诉讼；</w:t>
      </w:r>
    </w:p>
    <w:p w14:paraId="3CC21258" w14:textId="77777777" w:rsidR="00D86B2C" w:rsidRDefault="00D86B2C" w:rsidP="00D86B2C">
      <w:pPr>
        <w:pStyle w:val="af5"/>
        <w:numPr>
          <w:ilvl w:val="0"/>
          <w:numId w:val="35"/>
        </w:numPr>
        <w:spacing w:before="120"/>
        <w:ind w:left="690" w:hanging="240"/>
        <w:rPr>
          <w:rFonts w:ascii="宋体" w:eastAsia="宋体" w:hAnsi="Times New Roman"/>
          <w:color w:val="000000"/>
        </w:rPr>
      </w:pPr>
      <w:r w:rsidRPr="00D86B2C">
        <w:rPr>
          <w:rFonts w:ascii="宋体" w:eastAsia="宋体" w:hAnsi="Times New Roman" w:hint="eastAsia"/>
          <w:color w:val="000000"/>
        </w:rPr>
        <w:t>协助中国化工集团，对其部分子公司进行反垄断合规评估，并制订反垄断合规手册。</w:t>
      </w:r>
      <w:r w:rsidRPr="00D86B2C">
        <w:rPr>
          <w:rFonts w:ascii="宋体" w:eastAsia="宋体" w:hAnsi="Times New Roman"/>
          <w:color w:val="000000"/>
        </w:rPr>
        <w:t xml:space="preserve">   * 加入方达前参与的工作</w:t>
      </w:r>
    </w:p>
    <w:p w14:paraId="72A7095D" w14:textId="77777777" w:rsidR="00D86B2C" w:rsidRDefault="00D86B2C" w:rsidP="00D86B2C">
      <w:pPr>
        <w:pStyle w:val="af5"/>
        <w:spacing w:after="0" w:line="480" w:lineRule="auto"/>
        <w:rPr>
          <w:rFonts w:ascii="宋体" w:eastAsia="宋体" w:hAnsi="宋体"/>
          <w:b/>
          <w:sz w:val="24"/>
        </w:rPr>
      </w:pPr>
      <w:r w:rsidRPr="00D86B2C">
        <w:rPr>
          <w:rFonts w:ascii="宋体" w:eastAsia="宋体" w:hAnsi="宋体" w:hint="eastAsia"/>
          <w:b/>
          <w:sz w:val="24"/>
        </w:rPr>
        <w:t>教育背景</w:t>
      </w:r>
    </w:p>
    <w:p w14:paraId="3B3A2418" w14:textId="77777777" w:rsidR="00D86B2C" w:rsidRDefault="00D86B2C" w:rsidP="00D86B2C">
      <w:pPr>
        <w:pStyle w:val="af5"/>
        <w:numPr>
          <w:ilvl w:val="0"/>
          <w:numId w:val="36"/>
        </w:numPr>
        <w:spacing w:before="120"/>
        <w:ind w:left="690" w:hanging="240"/>
        <w:rPr>
          <w:rFonts w:ascii="宋体" w:eastAsia="宋体" w:hAnsi="Times New Roman"/>
          <w:color w:val="000000"/>
        </w:rPr>
      </w:pPr>
      <w:r w:rsidRPr="00D86B2C">
        <w:rPr>
          <w:rFonts w:ascii="宋体" w:eastAsia="宋体" w:hAnsi="Times New Roman" w:hint="eastAsia"/>
          <w:color w:val="000000"/>
        </w:rPr>
        <w:t>北京大学，法学院，法学学士（</w:t>
      </w:r>
      <w:r w:rsidRPr="00D86B2C">
        <w:rPr>
          <w:rFonts w:ascii="宋体" w:eastAsia="宋体" w:hAnsi="Times New Roman"/>
          <w:color w:val="000000"/>
        </w:rPr>
        <w:t>2018）</w:t>
      </w:r>
    </w:p>
    <w:p w14:paraId="6EEA92F2" w14:textId="77777777" w:rsidR="00D86B2C" w:rsidRDefault="00D86B2C" w:rsidP="00D86B2C">
      <w:pPr>
        <w:pStyle w:val="af5"/>
        <w:numPr>
          <w:ilvl w:val="0"/>
          <w:numId w:val="37"/>
        </w:numPr>
        <w:spacing w:before="120"/>
        <w:ind w:left="690" w:hanging="240"/>
        <w:rPr>
          <w:rFonts w:ascii="宋体" w:eastAsia="宋体" w:hAnsi="Times New Roman"/>
          <w:color w:val="000000"/>
        </w:rPr>
      </w:pPr>
      <w:r w:rsidRPr="00D86B2C">
        <w:rPr>
          <w:rFonts w:ascii="宋体" w:eastAsia="宋体" w:hAnsi="Times New Roman" w:hint="eastAsia"/>
          <w:color w:val="000000"/>
        </w:rPr>
        <w:t>北京大学，国家发展研究院，经济学学士（</w:t>
      </w:r>
      <w:r w:rsidRPr="00D86B2C">
        <w:rPr>
          <w:rFonts w:ascii="宋体" w:eastAsia="宋体" w:hAnsi="Times New Roman"/>
          <w:color w:val="000000"/>
        </w:rPr>
        <w:t>2018）</w:t>
      </w:r>
    </w:p>
    <w:p w14:paraId="2A618D93" w14:textId="77777777" w:rsidR="00D86B2C" w:rsidRDefault="00D86B2C" w:rsidP="00D86B2C">
      <w:pPr>
        <w:pStyle w:val="af5"/>
        <w:spacing w:after="0" w:line="480" w:lineRule="auto"/>
        <w:rPr>
          <w:rFonts w:ascii="宋体" w:eastAsia="宋体" w:hAnsi="宋体"/>
          <w:b/>
          <w:sz w:val="24"/>
        </w:rPr>
      </w:pPr>
      <w:r w:rsidRPr="00D86B2C">
        <w:rPr>
          <w:rFonts w:ascii="宋体" w:eastAsia="宋体" w:hAnsi="宋体" w:hint="eastAsia"/>
          <w:b/>
          <w:sz w:val="24"/>
        </w:rPr>
        <w:t>执业资格</w:t>
      </w:r>
    </w:p>
    <w:p w14:paraId="422D8A9E" w14:textId="77777777" w:rsidR="00D86B2C" w:rsidRDefault="00D86B2C" w:rsidP="00D86B2C">
      <w:pPr>
        <w:pStyle w:val="af5"/>
        <w:numPr>
          <w:ilvl w:val="0"/>
          <w:numId w:val="38"/>
        </w:numPr>
        <w:spacing w:before="120"/>
        <w:ind w:left="690" w:hanging="240"/>
        <w:rPr>
          <w:rFonts w:ascii="宋体" w:eastAsia="宋体" w:hAnsi="Times New Roman"/>
          <w:color w:val="000000"/>
        </w:rPr>
      </w:pPr>
      <w:r w:rsidRPr="00D86B2C">
        <w:rPr>
          <w:rFonts w:ascii="宋体" w:eastAsia="宋体" w:hAnsi="Times New Roman" w:hint="eastAsia"/>
          <w:color w:val="000000"/>
        </w:rPr>
        <w:t>中华人民共和国执业律师</w:t>
      </w:r>
    </w:p>
    <w:p w14:paraId="3A425193" w14:textId="77777777" w:rsidR="00D86B2C" w:rsidRDefault="00D86B2C" w:rsidP="00D86B2C">
      <w:pPr>
        <w:pStyle w:val="af5"/>
        <w:spacing w:after="0" w:line="480" w:lineRule="auto"/>
        <w:rPr>
          <w:rFonts w:ascii="宋体" w:eastAsia="宋体" w:hAnsi="宋体"/>
          <w:b/>
          <w:sz w:val="24"/>
        </w:rPr>
      </w:pPr>
      <w:r w:rsidRPr="00D86B2C">
        <w:rPr>
          <w:rFonts w:ascii="宋体" w:eastAsia="宋体" w:hAnsi="宋体" w:hint="eastAsia"/>
          <w:b/>
          <w:sz w:val="24"/>
        </w:rPr>
        <w:t>职业背景</w:t>
      </w:r>
    </w:p>
    <w:p w14:paraId="4F0A196B" w14:textId="472330E7" w:rsidR="00A46A04" w:rsidRPr="00D86B2C" w:rsidRDefault="00D86B2C" w:rsidP="00D86B2C">
      <w:pPr>
        <w:pStyle w:val="af5"/>
        <w:numPr>
          <w:ilvl w:val="0"/>
          <w:numId w:val="39"/>
        </w:numPr>
        <w:spacing w:before="120"/>
        <w:ind w:left="690" w:hanging="240"/>
        <w:rPr>
          <w:rFonts w:ascii="宋体" w:eastAsia="宋体" w:hAnsi="Times New Roman"/>
          <w:color w:val="000000"/>
        </w:rPr>
      </w:pPr>
      <w:r w:rsidRPr="00D86B2C">
        <w:rPr>
          <w:rFonts w:ascii="宋体" w:eastAsia="宋体" w:hAnsi="Times New Roman" w:hint="eastAsia"/>
          <w:color w:val="000000"/>
        </w:rPr>
        <w:t>刘律师于</w:t>
      </w:r>
      <w:r w:rsidRPr="00D86B2C">
        <w:rPr>
          <w:rFonts w:ascii="宋体" w:eastAsia="宋体" w:hAnsi="Times New Roman"/>
          <w:color w:val="000000"/>
        </w:rPr>
        <w:t>2021年加入方达律师事务所。在此之前，他曾在另一家领先的中国律师事务所的合规与政府监管业务部工作，除了反垄断和竞争法外，还具有数据和贸易合规领域的经验。</w:t>
      </w:r>
    </w:p>
    <w:sectPr w:rsidR="00A46A04" w:rsidRPr="00D86B2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FA0"/>
    <w:multiLevelType w:val="singleLevel"/>
    <w:tmpl w:val="6E2042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275524"/>
    <w:multiLevelType w:val="singleLevel"/>
    <w:tmpl w:val="8AC429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A767B"/>
    <w:multiLevelType w:val="singleLevel"/>
    <w:tmpl w:val="C764BD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2435A7"/>
    <w:multiLevelType w:val="singleLevel"/>
    <w:tmpl w:val="A25C2D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FE4669"/>
    <w:multiLevelType w:val="singleLevel"/>
    <w:tmpl w:val="12C8E1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E84EFE"/>
    <w:multiLevelType w:val="singleLevel"/>
    <w:tmpl w:val="F54620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DD7D7B"/>
    <w:multiLevelType w:val="singleLevel"/>
    <w:tmpl w:val="5886A16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841BF1"/>
    <w:multiLevelType w:val="singleLevel"/>
    <w:tmpl w:val="D41CC7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50375E"/>
    <w:multiLevelType w:val="singleLevel"/>
    <w:tmpl w:val="B46E65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0917B1"/>
    <w:multiLevelType w:val="singleLevel"/>
    <w:tmpl w:val="69D207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3F5B2D"/>
    <w:multiLevelType w:val="singleLevel"/>
    <w:tmpl w:val="7CB6B1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4E70AF"/>
    <w:multiLevelType w:val="singleLevel"/>
    <w:tmpl w:val="817613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520E6E"/>
    <w:multiLevelType w:val="singleLevel"/>
    <w:tmpl w:val="653E55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094FCE"/>
    <w:multiLevelType w:val="singleLevel"/>
    <w:tmpl w:val="1194BD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46A10D5"/>
    <w:multiLevelType w:val="singleLevel"/>
    <w:tmpl w:val="7188E4A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A8D4528"/>
    <w:multiLevelType w:val="singleLevel"/>
    <w:tmpl w:val="4020810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C3507E"/>
    <w:multiLevelType w:val="singleLevel"/>
    <w:tmpl w:val="485C45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CF1131"/>
    <w:multiLevelType w:val="singleLevel"/>
    <w:tmpl w:val="E006C43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F1352C"/>
    <w:multiLevelType w:val="singleLevel"/>
    <w:tmpl w:val="6F66F4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47421B"/>
    <w:multiLevelType w:val="singleLevel"/>
    <w:tmpl w:val="624EA0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1111DE"/>
    <w:multiLevelType w:val="singleLevel"/>
    <w:tmpl w:val="BD6446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566B7B"/>
    <w:multiLevelType w:val="singleLevel"/>
    <w:tmpl w:val="582E574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BD70172"/>
    <w:multiLevelType w:val="singleLevel"/>
    <w:tmpl w:val="0AC68C2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BE227E"/>
    <w:multiLevelType w:val="singleLevel"/>
    <w:tmpl w:val="4EBA9B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CE770D"/>
    <w:multiLevelType w:val="singleLevel"/>
    <w:tmpl w:val="F42251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2A1CBA"/>
    <w:multiLevelType w:val="singleLevel"/>
    <w:tmpl w:val="0DDAC66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0A178B"/>
    <w:multiLevelType w:val="singleLevel"/>
    <w:tmpl w:val="6EB6A4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8A1AE8"/>
    <w:multiLevelType w:val="singleLevel"/>
    <w:tmpl w:val="1C622A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8A6BED"/>
    <w:multiLevelType w:val="singleLevel"/>
    <w:tmpl w:val="CAF4A2E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AB42C5"/>
    <w:multiLevelType w:val="singleLevel"/>
    <w:tmpl w:val="463A7ED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B9198D"/>
    <w:multiLevelType w:val="singleLevel"/>
    <w:tmpl w:val="33D4DA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3E01EC6"/>
    <w:multiLevelType w:val="singleLevel"/>
    <w:tmpl w:val="4C00EDB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7918AA"/>
    <w:multiLevelType w:val="singleLevel"/>
    <w:tmpl w:val="582E574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A31B36"/>
    <w:multiLevelType w:val="singleLevel"/>
    <w:tmpl w:val="7DC2E9E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B1531C9"/>
    <w:multiLevelType w:val="singleLevel"/>
    <w:tmpl w:val="AF54BE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1D5311"/>
    <w:multiLevelType w:val="singleLevel"/>
    <w:tmpl w:val="D67CEF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247836"/>
    <w:multiLevelType w:val="singleLevel"/>
    <w:tmpl w:val="B980F14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6"/>
  </w:num>
  <w:num w:numId="3">
    <w:abstractNumId w:val="29"/>
  </w:num>
  <w:num w:numId="4">
    <w:abstractNumId w:val="18"/>
  </w:num>
  <w:num w:numId="5">
    <w:abstractNumId w:val="26"/>
  </w:num>
  <w:num w:numId="6">
    <w:abstractNumId w:val="28"/>
  </w:num>
  <w:num w:numId="7">
    <w:abstractNumId w:val="33"/>
  </w:num>
  <w:num w:numId="8">
    <w:abstractNumId w:val="2"/>
  </w:num>
  <w:num w:numId="9">
    <w:abstractNumId w:val="0"/>
  </w:num>
  <w:num w:numId="10">
    <w:abstractNumId w:val="38"/>
  </w:num>
  <w:num w:numId="11">
    <w:abstractNumId w:val="11"/>
  </w:num>
  <w:num w:numId="12">
    <w:abstractNumId w:val="13"/>
  </w:num>
  <w:num w:numId="13">
    <w:abstractNumId w:val="12"/>
  </w:num>
  <w:num w:numId="14">
    <w:abstractNumId w:val="8"/>
  </w:num>
  <w:num w:numId="15">
    <w:abstractNumId w:val="10"/>
  </w:num>
  <w:num w:numId="16">
    <w:abstractNumId w:val="32"/>
  </w:num>
  <w:num w:numId="17">
    <w:abstractNumId w:val="1"/>
  </w:num>
  <w:num w:numId="18">
    <w:abstractNumId w:val="15"/>
  </w:num>
  <w:num w:numId="19">
    <w:abstractNumId w:val="19"/>
  </w:num>
  <w:num w:numId="20">
    <w:abstractNumId w:val="6"/>
  </w:num>
  <w:num w:numId="21">
    <w:abstractNumId w:val="27"/>
  </w:num>
  <w:num w:numId="22">
    <w:abstractNumId w:val="4"/>
  </w:num>
  <w:num w:numId="23">
    <w:abstractNumId w:val="20"/>
  </w:num>
  <w:num w:numId="24">
    <w:abstractNumId w:val="37"/>
  </w:num>
  <w:num w:numId="25">
    <w:abstractNumId w:val="21"/>
  </w:num>
  <w:num w:numId="26">
    <w:abstractNumId w:val="36"/>
  </w:num>
  <w:num w:numId="27">
    <w:abstractNumId w:val="3"/>
  </w:num>
  <w:num w:numId="28">
    <w:abstractNumId w:val="30"/>
  </w:num>
  <w:num w:numId="29">
    <w:abstractNumId w:val="17"/>
  </w:num>
  <w:num w:numId="30">
    <w:abstractNumId w:val="24"/>
  </w:num>
  <w:num w:numId="31">
    <w:abstractNumId w:val="35"/>
  </w:num>
  <w:num w:numId="32">
    <w:abstractNumId w:val="9"/>
  </w:num>
  <w:num w:numId="33">
    <w:abstractNumId w:val="25"/>
  </w:num>
  <w:num w:numId="34">
    <w:abstractNumId w:val="22"/>
  </w:num>
  <w:num w:numId="35">
    <w:abstractNumId w:val="5"/>
  </w:num>
  <w:num w:numId="36">
    <w:abstractNumId w:val="7"/>
  </w:num>
  <w:num w:numId="37">
    <w:abstractNumId w:val="31"/>
  </w:num>
  <w:num w:numId="38">
    <w:abstractNumId w:val="34"/>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86B2C"/>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6B2C"/>
    <w:pPr>
      <w:spacing w:after="120"/>
    </w:pPr>
  </w:style>
  <w:style w:type="character" w:customStyle="1" w:styleId="af6">
    <w:name w:val="正文文本 字符"/>
    <w:basedOn w:val="a0"/>
    <w:link w:val="af5"/>
    <w:uiPriority w:val="99"/>
    <w:rsid w:val="00D86B2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5DAE4-8FE0-4EEF-B7C6-19693EF3A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1807</Characters>
  <Application>Microsoft Office Word</Application>
  <DocSecurity>0</DocSecurity>
  <Lines>15</Lines>
  <Paragraphs>4</Paragraphs>
  <ScaleCrop>false</ScaleCrop>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2026-07-06T23:59:00Z</dcterms:created>
  <dcterms:modified xsi:type="dcterms:W3CDTF">2026-07-06T23:59:00Z</dcterms:modified>
</cp:coreProperties>
</file>