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E02024" w:rsidR="0049405C" w:rsidRPr="00187BAA" w:rsidRDefault="00EE0AA8" w:rsidP="00EE0AA8">
            <w:pPr>
              <w:spacing w:line="720" w:lineRule="auto"/>
              <w:rPr>
                <w:rFonts w:ascii="宋体" w:eastAsia="宋体" w:hAnsi="宋体"/>
                <w:color w:val="545551"/>
              </w:rPr>
            </w:pPr>
            <w:bookmarkStart w:id="0" w:name="xingming"/>
            <w:bookmarkStart w:id="1" w:name="_GoBack"/>
            <w:bookmarkEnd w:id="1"/>
            <w:r w:rsidRPr="00EE0AA8">
              <w:rPr>
                <w:rFonts w:ascii="宋体" w:eastAsia="宋体" w:hAnsi="Times New Roman" w:hint="eastAsia"/>
                <w:b/>
                <w:color w:val="000000"/>
                <w:sz w:val="48"/>
              </w:rPr>
              <w:t>张高翊</w:t>
            </w:r>
            <w:bookmarkEnd w:id="0"/>
          </w:p>
          <w:p w14:paraId="706EB16B" w14:textId="243DAE11" w:rsidR="0049405C" w:rsidRPr="00187BAA" w:rsidRDefault="00EE0AA8" w:rsidP="00EE0AA8">
            <w:pPr>
              <w:spacing w:line="360" w:lineRule="auto"/>
              <w:rPr>
                <w:rFonts w:ascii="宋体" w:eastAsia="宋体" w:hAnsi="宋体"/>
                <w:b/>
                <w:bCs/>
                <w:color w:val="545551"/>
              </w:rPr>
            </w:pPr>
            <w:bookmarkStart w:id="2" w:name="didian"/>
            <w:r w:rsidRPr="00EE0AA8">
              <w:rPr>
                <w:rFonts w:ascii="宋体" w:eastAsia="宋体" w:hAnsi="Times New Roman" w:hint="eastAsia"/>
                <w:b/>
                <w:bCs/>
                <w:color w:val="000000"/>
              </w:rPr>
              <w:t>资深律师·北京</w:t>
            </w:r>
            <w:bookmarkEnd w:id="2"/>
          </w:p>
          <w:p w14:paraId="6199424A" w14:textId="6D4B835C" w:rsidR="0049405C" w:rsidRPr="00187BAA" w:rsidRDefault="00EE0AA8" w:rsidP="00EE0AA8">
            <w:pPr>
              <w:spacing w:line="360" w:lineRule="auto"/>
              <w:rPr>
                <w:rFonts w:ascii="宋体" w:eastAsia="宋体" w:hAnsi="宋体"/>
                <w:color w:val="545551"/>
              </w:rPr>
            </w:pPr>
            <w:bookmarkStart w:id="3" w:name="dianhua"/>
            <w:r w:rsidRPr="00EE0AA8">
              <w:rPr>
                <w:rFonts w:ascii="宋体" w:eastAsia="宋体" w:hAnsi="Times New Roman"/>
                <w:color w:val="000000"/>
              </w:rPr>
              <w:t>+86 10 5900 7438</w:t>
            </w:r>
            <w:bookmarkEnd w:id="3"/>
          </w:p>
          <w:p w14:paraId="4F910ACA" w14:textId="04FB61AD" w:rsidR="0049405C" w:rsidRPr="00187BAA" w:rsidRDefault="00EE0AA8" w:rsidP="00EE0AA8">
            <w:pPr>
              <w:spacing w:line="360" w:lineRule="auto"/>
              <w:rPr>
                <w:rFonts w:ascii="宋体" w:eastAsia="宋体" w:hAnsi="宋体"/>
                <w:color w:val="000000"/>
              </w:rPr>
            </w:pPr>
            <w:bookmarkStart w:id="4" w:name="youxiang"/>
            <w:r w:rsidRPr="00EE0AA8">
              <w:rPr>
                <w:rFonts w:ascii="宋体" w:eastAsia="宋体" w:hAnsi="Times New Roman"/>
                <w:color w:val="000000"/>
              </w:rPr>
              <w:t>ed.zhang@fangdalaw.com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2E5EB75" w:rsidR="0049405C" w:rsidRPr="00187BAA" w:rsidRDefault="00EE0AA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86A8B2" wp14:editId="2B7D97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ADEEA10" w:rsidR="009465FB" w:rsidRPr="00187BAA" w:rsidRDefault="00EE0AA8" w:rsidP="007177F3">
            <w:pPr>
              <w:rPr>
                <w:rFonts w:ascii="宋体" w:eastAsia="宋体" w:hAnsi="宋体"/>
                <w:color w:val="000000"/>
                <w:szCs w:val="21"/>
              </w:rPr>
            </w:pPr>
            <w:bookmarkStart w:id="6" w:name="zhiyelingyu"/>
            <w:r w:rsidRPr="00EE0AA8">
              <w:rPr>
                <w:rFonts w:ascii="宋体" w:eastAsia="宋体" w:hAnsi="Times New Roman" w:hint="eastAsia"/>
                <w:color w:val="000000"/>
                <w:szCs w:val="21"/>
              </w:rPr>
              <w:t>张高翊律师的主要执业领域为股权投资、并购重组、证券发行和一般公司法律事务。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82F5EC" w14:textId="77777777" w:rsidR="00EE0AA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B1BCEA" w14:textId="77777777" w:rsidR="00EE0AA8" w:rsidRDefault="00EE0AA8" w:rsidP="00EE0AA8">
      <w:pPr>
        <w:pStyle w:val="af5"/>
        <w:spacing w:after="0" w:line="480" w:lineRule="auto"/>
        <w:rPr>
          <w:rFonts w:ascii="宋体" w:eastAsia="宋体" w:hAnsi="宋体"/>
          <w:b/>
          <w:sz w:val="24"/>
        </w:rPr>
      </w:pPr>
      <w:r w:rsidRPr="00EE0AA8">
        <w:rPr>
          <w:rFonts w:ascii="宋体" w:eastAsia="宋体" w:hAnsi="宋体" w:hint="eastAsia"/>
          <w:b/>
          <w:sz w:val="24"/>
        </w:rPr>
        <w:t>近期代理的主要案件</w:t>
      </w:r>
    </w:p>
    <w:p w14:paraId="72323EFE" w14:textId="77777777" w:rsidR="00EE0AA8" w:rsidRDefault="00EE0AA8" w:rsidP="00EE0AA8">
      <w:pPr>
        <w:pStyle w:val="af5"/>
        <w:spacing w:before="120"/>
        <w:rPr>
          <w:rFonts w:ascii="宋体" w:eastAsia="宋体" w:hAnsi="Times New Roman"/>
          <w:color w:val="000000"/>
        </w:rPr>
      </w:pPr>
    </w:p>
    <w:p w14:paraId="4CF04607" w14:textId="77777777" w:rsidR="00EE0AA8" w:rsidRDefault="00EE0AA8" w:rsidP="00EE0AA8">
      <w:pPr>
        <w:pStyle w:val="af5"/>
        <w:numPr>
          <w:ilvl w:val="0"/>
          <w:numId w:val="4"/>
        </w:numPr>
        <w:spacing w:before="120"/>
        <w:ind w:left="690" w:hanging="240"/>
        <w:rPr>
          <w:rFonts w:ascii="宋体" w:eastAsia="宋体" w:hAnsi="Times New Roman"/>
          <w:color w:val="000000"/>
        </w:rPr>
      </w:pPr>
      <w:r w:rsidRPr="00EE0AA8">
        <w:rPr>
          <w:rFonts w:ascii="宋体" w:eastAsia="宋体" w:hAnsi="Times New Roman" w:hint="eastAsia"/>
          <w:color w:val="000000"/>
        </w:rPr>
        <w:t>代表克劳斯玛菲（</w:t>
      </w:r>
      <w:r w:rsidRPr="00EE0AA8">
        <w:rPr>
          <w:rFonts w:ascii="宋体" w:eastAsia="宋体" w:hAnsi="Times New Roman"/>
          <w:color w:val="000000"/>
        </w:rPr>
        <w:t>600579.SH）完成重大资产出售；</w:t>
      </w:r>
    </w:p>
    <w:p w14:paraId="3C1886C8" w14:textId="77777777" w:rsidR="00EE0AA8" w:rsidRDefault="00EE0AA8" w:rsidP="00EE0AA8">
      <w:pPr>
        <w:pStyle w:val="af5"/>
        <w:numPr>
          <w:ilvl w:val="0"/>
          <w:numId w:val="5"/>
        </w:numPr>
        <w:spacing w:before="120"/>
        <w:ind w:left="690" w:hanging="240"/>
        <w:rPr>
          <w:rFonts w:ascii="宋体" w:eastAsia="宋体" w:hAnsi="Times New Roman"/>
          <w:color w:val="000000"/>
        </w:rPr>
      </w:pPr>
      <w:r w:rsidRPr="00EE0AA8">
        <w:rPr>
          <w:rFonts w:ascii="宋体" w:eastAsia="宋体" w:hAnsi="Times New Roman" w:hint="eastAsia"/>
          <w:color w:val="000000"/>
        </w:rPr>
        <w:t>代表帝亚吉欧</w:t>
      </w:r>
      <w:r w:rsidRPr="00EE0AA8">
        <w:rPr>
          <w:rFonts w:ascii="宋体" w:eastAsia="宋体" w:hAnsi="Times New Roman"/>
          <w:color w:val="000000"/>
        </w:rPr>
        <w:t>Diageo plc对水井坊（600779.SH）的连续两次要约收购；</w:t>
      </w:r>
    </w:p>
    <w:p w14:paraId="6739169F" w14:textId="77777777" w:rsidR="00EE0AA8" w:rsidRDefault="00EE0AA8" w:rsidP="00EE0AA8">
      <w:pPr>
        <w:pStyle w:val="af5"/>
        <w:numPr>
          <w:ilvl w:val="0"/>
          <w:numId w:val="6"/>
        </w:numPr>
        <w:spacing w:before="120"/>
        <w:ind w:left="690" w:hanging="240"/>
        <w:rPr>
          <w:rFonts w:ascii="宋体" w:eastAsia="宋体" w:hAnsi="Times New Roman"/>
          <w:color w:val="000000"/>
        </w:rPr>
      </w:pPr>
      <w:r w:rsidRPr="00EE0AA8">
        <w:rPr>
          <w:rFonts w:ascii="宋体" w:eastAsia="宋体" w:hAnsi="Times New Roman" w:hint="eastAsia"/>
          <w:color w:val="000000"/>
        </w:rPr>
        <w:t>代表汇丰银行增持在汇丰人寿保险众的股份；</w:t>
      </w:r>
    </w:p>
    <w:p w14:paraId="5D742FBB" w14:textId="77777777" w:rsidR="00EE0AA8" w:rsidRDefault="00EE0AA8" w:rsidP="00EE0AA8">
      <w:pPr>
        <w:pStyle w:val="af5"/>
        <w:numPr>
          <w:ilvl w:val="0"/>
          <w:numId w:val="7"/>
        </w:numPr>
        <w:spacing w:before="120"/>
        <w:ind w:left="690" w:hanging="240"/>
        <w:rPr>
          <w:rFonts w:ascii="宋体" w:eastAsia="宋体" w:hAnsi="Times New Roman"/>
          <w:color w:val="000000"/>
        </w:rPr>
      </w:pPr>
      <w:r w:rsidRPr="00EE0AA8">
        <w:rPr>
          <w:rFonts w:ascii="宋体" w:eastAsia="宋体" w:hAnsi="Times New Roman" w:hint="eastAsia"/>
          <w:color w:val="000000"/>
        </w:rPr>
        <w:t>代表</w:t>
      </w:r>
      <w:r w:rsidRPr="00EE0AA8">
        <w:rPr>
          <w:rFonts w:ascii="宋体" w:eastAsia="宋体" w:hAnsi="Times New Roman"/>
          <w:color w:val="000000"/>
        </w:rPr>
        <w:t>L Catterton Asia与路特斯科技进行De-SPAC并在纳斯达克上市；</w:t>
      </w:r>
    </w:p>
    <w:p w14:paraId="51B9D380" w14:textId="77777777" w:rsidR="00EE0AA8" w:rsidRDefault="00EE0AA8" w:rsidP="00EE0AA8">
      <w:pPr>
        <w:pStyle w:val="af5"/>
        <w:numPr>
          <w:ilvl w:val="0"/>
          <w:numId w:val="8"/>
        </w:numPr>
        <w:spacing w:before="120"/>
        <w:ind w:left="690" w:hanging="240"/>
        <w:rPr>
          <w:rFonts w:ascii="宋体" w:eastAsia="宋体" w:hAnsi="Times New Roman"/>
          <w:color w:val="000000"/>
        </w:rPr>
      </w:pPr>
      <w:r w:rsidRPr="00EE0AA8">
        <w:rPr>
          <w:rFonts w:ascii="宋体" w:eastAsia="宋体" w:hAnsi="Times New Roman" w:hint="eastAsia"/>
          <w:color w:val="000000"/>
        </w:rPr>
        <w:t>代表中移资本收购启明星辰（</w:t>
      </w:r>
      <w:r w:rsidRPr="00EE0AA8">
        <w:rPr>
          <w:rFonts w:ascii="宋体" w:eastAsia="宋体" w:hAnsi="Times New Roman"/>
          <w:color w:val="000000"/>
        </w:rPr>
        <w:t>002439.SZ）控制权；</w:t>
      </w:r>
    </w:p>
    <w:p w14:paraId="6BDA18D2" w14:textId="77777777" w:rsidR="00EE0AA8" w:rsidRDefault="00EE0AA8" w:rsidP="00EE0AA8">
      <w:pPr>
        <w:pStyle w:val="af5"/>
        <w:numPr>
          <w:ilvl w:val="0"/>
          <w:numId w:val="9"/>
        </w:numPr>
        <w:spacing w:before="120"/>
        <w:ind w:left="690" w:hanging="240"/>
        <w:rPr>
          <w:rFonts w:ascii="宋体" w:eastAsia="宋体" w:hAnsi="Times New Roman"/>
          <w:color w:val="000000"/>
        </w:rPr>
      </w:pPr>
      <w:r w:rsidRPr="00EE0AA8">
        <w:rPr>
          <w:rFonts w:ascii="宋体" w:eastAsia="宋体" w:hAnsi="Times New Roman" w:hint="eastAsia"/>
          <w:color w:val="000000"/>
        </w:rPr>
        <w:t>代表中移通信收购荣耀终端有限公司部分股权；</w:t>
      </w:r>
    </w:p>
    <w:p w14:paraId="5AA24BBA" w14:textId="77777777" w:rsidR="00EE0AA8" w:rsidRDefault="00EE0AA8" w:rsidP="00EE0AA8">
      <w:pPr>
        <w:pStyle w:val="af5"/>
        <w:numPr>
          <w:ilvl w:val="0"/>
          <w:numId w:val="10"/>
        </w:numPr>
        <w:spacing w:before="120"/>
        <w:ind w:left="690" w:hanging="240"/>
        <w:rPr>
          <w:rFonts w:ascii="宋体" w:eastAsia="宋体" w:hAnsi="Times New Roman"/>
          <w:color w:val="000000"/>
        </w:rPr>
      </w:pPr>
      <w:r w:rsidRPr="00EE0AA8">
        <w:rPr>
          <w:rFonts w:ascii="宋体" w:eastAsia="宋体" w:hAnsi="Times New Roman" w:hint="eastAsia"/>
          <w:color w:val="000000"/>
        </w:rPr>
        <w:t>代表先正达集团从事关于中国化工集团以及中国中化集团的资产重组；</w:t>
      </w:r>
    </w:p>
    <w:p w14:paraId="1C92281C" w14:textId="77777777" w:rsidR="00EE0AA8" w:rsidRDefault="00EE0AA8" w:rsidP="00EE0AA8">
      <w:pPr>
        <w:pStyle w:val="af5"/>
        <w:numPr>
          <w:ilvl w:val="0"/>
          <w:numId w:val="11"/>
        </w:numPr>
        <w:spacing w:before="120"/>
        <w:ind w:left="690" w:hanging="240"/>
        <w:rPr>
          <w:rFonts w:ascii="宋体" w:eastAsia="宋体" w:hAnsi="Times New Roman"/>
          <w:color w:val="000000"/>
        </w:rPr>
      </w:pPr>
      <w:r w:rsidRPr="00EE0AA8">
        <w:rPr>
          <w:rFonts w:ascii="宋体" w:eastAsia="宋体" w:hAnsi="Times New Roman" w:hint="eastAsia"/>
          <w:color w:val="000000"/>
        </w:rPr>
        <w:t>代表瑞致达</w:t>
      </w:r>
      <w:r w:rsidRPr="00EE0AA8">
        <w:rPr>
          <w:rFonts w:ascii="宋体" w:eastAsia="宋体" w:hAnsi="Times New Roman"/>
          <w:color w:val="000000"/>
        </w:rPr>
        <w:t>Vistra Group 收购Radius ；</w:t>
      </w:r>
    </w:p>
    <w:p w14:paraId="3242A08C" w14:textId="77777777" w:rsidR="00EE0AA8" w:rsidRDefault="00EE0AA8" w:rsidP="00EE0AA8">
      <w:pPr>
        <w:pStyle w:val="af5"/>
        <w:numPr>
          <w:ilvl w:val="0"/>
          <w:numId w:val="12"/>
        </w:numPr>
        <w:spacing w:before="120"/>
        <w:ind w:left="690" w:hanging="240"/>
        <w:rPr>
          <w:rFonts w:ascii="宋体" w:eastAsia="宋体" w:hAnsi="Times New Roman"/>
          <w:color w:val="000000"/>
        </w:rPr>
      </w:pPr>
      <w:r w:rsidRPr="00EE0AA8">
        <w:rPr>
          <w:rFonts w:ascii="宋体" w:eastAsia="宋体" w:hAnsi="Times New Roman" w:hint="eastAsia"/>
          <w:color w:val="000000"/>
        </w:rPr>
        <w:t>代表中移投资、中石化资本、国家制造业基金、中国电装、中兵国调、方正证券、国新国控等投资人投资北京康吉森自动化技术股份有限公司；</w:t>
      </w:r>
    </w:p>
    <w:p w14:paraId="2FF9F221" w14:textId="77777777" w:rsidR="00EE0AA8" w:rsidRDefault="00EE0AA8" w:rsidP="00EE0AA8">
      <w:pPr>
        <w:pStyle w:val="af5"/>
        <w:numPr>
          <w:ilvl w:val="0"/>
          <w:numId w:val="13"/>
        </w:numPr>
        <w:spacing w:before="120"/>
        <w:ind w:left="690" w:hanging="240"/>
        <w:rPr>
          <w:rFonts w:ascii="宋体" w:eastAsia="宋体" w:hAnsi="Times New Roman"/>
          <w:color w:val="000000"/>
        </w:rPr>
      </w:pPr>
      <w:r w:rsidRPr="00EE0AA8">
        <w:rPr>
          <w:rFonts w:ascii="宋体" w:eastAsia="宋体" w:hAnsi="Times New Roman" w:hint="eastAsia"/>
          <w:color w:val="000000"/>
        </w:rPr>
        <w:t>代表中金资本参与光鉴科技集团的</w:t>
      </w:r>
      <w:r w:rsidRPr="00EE0AA8">
        <w:rPr>
          <w:rFonts w:ascii="宋体" w:eastAsia="宋体" w:hAnsi="Times New Roman"/>
          <w:color w:val="000000"/>
        </w:rPr>
        <w:t>C-1轮融资以及红筹重组；</w:t>
      </w:r>
    </w:p>
    <w:p w14:paraId="42C1FD06" w14:textId="77777777" w:rsidR="00EE0AA8" w:rsidRDefault="00EE0AA8" w:rsidP="00EE0AA8">
      <w:pPr>
        <w:pStyle w:val="af5"/>
        <w:numPr>
          <w:ilvl w:val="0"/>
          <w:numId w:val="14"/>
        </w:numPr>
        <w:spacing w:before="120"/>
        <w:ind w:left="690" w:hanging="240"/>
        <w:rPr>
          <w:rFonts w:ascii="宋体" w:eastAsia="宋体" w:hAnsi="Times New Roman"/>
          <w:color w:val="000000"/>
        </w:rPr>
      </w:pPr>
      <w:r w:rsidRPr="00EE0AA8">
        <w:rPr>
          <w:rFonts w:ascii="宋体" w:eastAsia="宋体" w:hAnsi="Times New Roman" w:hint="eastAsia"/>
          <w:color w:val="000000"/>
        </w:rPr>
        <w:t>代表国风投参与</w:t>
      </w:r>
      <w:r w:rsidRPr="00EE0AA8">
        <w:rPr>
          <w:rFonts w:ascii="宋体" w:eastAsia="宋体" w:hAnsi="Times New Roman"/>
          <w:color w:val="000000"/>
        </w:rPr>
        <w:t>LightAI曦智科技集团的C3轮融资以及红筹重组；</w:t>
      </w:r>
    </w:p>
    <w:p w14:paraId="56E6D8E3" w14:textId="77777777" w:rsidR="00EE0AA8" w:rsidRDefault="00EE0AA8" w:rsidP="00EE0AA8">
      <w:pPr>
        <w:pStyle w:val="af5"/>
        <w:numPr>
          <w:ilvl w:val="0"/>
          <w:numId w:val="15"/>
        </w:numPr>
        <w:spacing w:before="120"/>
        <w:ind w:left="690" w:hanging="240"/>
        <w:rPr>
          <w:rFonts w:ascii="宋体" w:eastAsia="宋体" w:hAnsi="Times New Roman"/>
          <w:color w:val="000000"/>
        </w:rPr>
      </w:pPr>
      <w:r w:rsidRPr="00EE0AA8">
        <w:rPr>
          <w:rFonts w:ascii="宋体" w:eastAsia="宋体" w:hAnsi="Times New Roman" w:hint="eastAsia"/>
          <w:color w:val="000000"/>
        </w:rPr>
        <w:t>代表高瓴资本参与对箭牌卫浴的</w:t>
      </w:r>
      <w:r w:rsidRPr="00EE0AA8">
        <w:rPr>
          <w:rFonts w:ascii="宋体" w:eastAsia="宋体" w:hAnsi="Times New Roman"/>
          <w:color w:val="000000"/>
        </w:rPr>
        <w:t>Pre-IPO轮融资；</w:t>
      </w:r>
    </w:p>
    <w:p w14:paraId="5E13408C" w14:textId="77777777" w:rsidR="00EE0AA8" w:rsidRDefault="00EE0AA8" w:rsidP="00EE0AA8">
      <w:pPr>
        <w:pStyle w:val="af5"/>
        <w:numPr>
          <w:ilvl w:val="0"/>
          <w:numId w:val="16"/>
        </w:numPr>
        <w:spacing w:before="120"/>
        <w:ind w:left="690" w:hanging="240"/>
        <w:rPr>
          <w:rFonts w:ascii="宋体" w:eastAsia="宋体" w:hAnsi="Times New Roman"/>
          <w:color w:val="000000"/>
        </w:rPr>
      </w:pPr>
      <w:r w:rsidRPr="00EE0AA8">
        <w:rPr>
          <w:rFonts w:ascii="宋体" w:eastAsia="宋体" w:hAnsi="Times New Roman" w:hint="eastAsia"/>
          <w:color w:val="000000"/>
        </w:rPr>
        <w:t>代表中信产业基金参与百度集团金融板块度小满金融的分拆以及融资；</w:t>
      </w:r>
    </w:p>
    <w:p w14:paraId="628D5DB6" w14:textId="77777777" w:rsidR="00EE0AA8" w:rsidRDefault="00EE0AA8" w:rsidP="00EE0AA8">
      <w:pPr>
        <w:pStyle w:val="af5"/>
        <w:numPr>
          <w:ilvl w:val="0"/>
          <w:numId w:val="17"/>
        </w:numPr>
        <w:spacing w:before="120"/>
        <w:ind w:left="690" w:hanging="240"/>
        <w:rPr>
          <w:rFonts w:ascii="宋体" w:eastAsia="宋体" w:hAnsi="Times New Roman"/>
          <w:color w:val="000000"/>
        </w:rPr>
      </w:pPr>
      <w:r w:rsidRPr="00EE0AA8">
        <w:rPr>
          <w:rFonts w:ascii="宋体" w:eastAsia="宋体" w:hAnsi="Times New Roman" w:hint="eastAsia"/>
          <w:color w:val="000000"/>
        </w:rPr>
        <w:t>代表</w:t>
      </w:r>
      <w:r w:rsidRPr="00EE0AA8">
        <w:rPr>
          <w:rFonts w:ascii="宋体" w:eastAsia="宋体" w:hAnsi="Times New Roman"/>
          <w:color w:val="000000"/>
        </w:rPr>
        <w:t>MasterCard与网联清算在中国境内成立支付清算合资企业；</w:t>
      </w:r>
    </w:p>
    <w:p w14:paraId="73ED6547" w14:textId="77777777" w:rsidR="00EE0AA8" w:rsidRDefault="00EE0AA8" w:rsidP="00EE0AA8">
      <w:pPr>
        <w:pStyle w:val="af5"/>
        <w:numPr>
          <w:ilvl w:val="0"/>
          <w:numId w:val="18"/>
        </w:numPr>
        <w:spacing w:before="120"/>
        <w:ind w:left="690" w:hanging="240"/>
        <w:rPr>
          <w:rFonts w:ascii="宋体" w:eastAsia="宋体" w:hAnsi="Times New Roman"/>
          <w:color w:val="000000"/>
        </w:rPr>
      </w:pPr>
      <w:r w:rsidRPr="00EE0AA8">
        <w:rPr>
          <w:rFonts w:ascii="宋体" w:eastAsia="宋体" w:hAnsi="Times New Roman" w:hint="eastAsia"/>
          <w:color w:val="000000"/>
        </w:rPr>
        <w:t>代表广汇集团收购中国境内多家汽车</w:t>
      </w:r>
      <w:r w:rsidRPr="00EE0AA8">
        <w:rPr>
          <w:rFonts w:ascii="宋体" w:eastAsia="宋体" w:hAnsi="Times New Roman"/>
          <w:color w:val="000000"/>
        </w:rPr>
        <w:t>4S店。</w:t>
      </w:r>
    </w:p>
    <w:p w14:paraId="37E93A74" w14:textId="77777777" w:rsidR="00EE0AA8" w:rsidRDefault="00EE0AA8" w:rsidP="00EE0AA8">
      <w:pPr>
        <w:pStyle w:val="af5"/>
        <w:spacing w:after="0" w:line="480" w:lineRule="auto"/>
        <w:rPr>
          <w:rFonts w:ascii="宋体" w:eastAsia="宋体" w:hAnsi="宋体"/>
          <w:b/>
          <w:sz w:val="24"/>
        </w:rPr>
      </w:pPr>
      <w:r w:rsidRPr="00EE0AA8">
        <w:rPr>
          <w:rFonts w:ascii="宋体" w:eastAsia="宋体" w:hAnsi="宋体" w:hint="eastAsia"/>
          <w:b/>
          <w:sz w:val="24"/>
        </w:rPr>
        <w:t>教育背景</w:t>
      </w:r>
    </w:p>
    <w:p w14:paraId="67F9B754" w14:textId="77777777" w:rsidR="00EE0AA8" w:rsidRDefault="00EE0AA8" w:rsidP="00EE0AA8">
      <w:pPr>
        <w:pStyle w:val="af5"/>
        <w:numPr>
          <w:ilvl w:val="0"/>
          <w:numId w:val="19"/>
        </w:numPr>
        <w:spacing w:before="120"/>
        <w:ind w:left="690" w:hanging="240"/>
        <w:rPr>
          <w:rFonts w:ascii="宋体" w:eastAsia="宋体" w:hAnsi="Times New Roman"/>
          <w:color w:val="000000"/>
        </w:rPr>
      </w:pPr>
      <w:r w:rsidRPr="00EE0AA8">
        <w:rPr>
          <w:rFonts w:ascii="宋体" w:eastAsia="宋体" w:hAnsi="Times New Roman" w:hint="eastAsia"/>
          <w:color w:val="000000"/>
        </w:rPr>
        <w:t>中国人民大学法学院，法学学士</w:t>
      </w:r>
    </w:p>
    <w:p w14:paraId="1C4F8CE5" w14:textId="77777777" w:rsidR="00EE0AA8" w:rsidRDefault="00EE0AA8" w:rsidP="00EE0AA8">
      <w:pPr>
        <w:pStyle w:val="af5"/>
        <w:numPr>
          <w:ilvl w:val="0"/>
          <w:numId w:val="20"/>
        </w:numPr>
        <w:spacing w:before="120"/>
        <w:ind w:left="690" w:hanging="240"/>
        <w:rPr>
          <w:rFonts w:ascii="宋体" w:eastAsia="宋体" w:hAnsi="Times New Roman"/>
          <w:color w:val="000000"/>
        </w:rPr>
      </w:pPr>
      <w:r w:rsidRPr="00EE0AA8">
        <w:rPr>
          <w:rFonts w:ascii="宋体" w:eastAsia="宋体" w:hAnsi="Times New Roman" w:hint="eastAsia"/>
          <w:color w:val="000000"/>
        </w:rPr>
        <w:t>加利佛尼亚大学伯克利分校，法学硕士</w:t>
      </w:r>
    </w:p>
    <w:p w14:paraId="765F961E" w14:textId="77777777" w:rsidR="00EE0AA8" w:rsidRDefault="00EE0AA8" w:rsidP="00EE0AA8">
      <w:pPr>
        <w:pStyle w:val="af5"/>
        <w:spacing w:after="0" w:line="480" w:lineRule="auto"/>
        <w:rPr>
          <w:rFonts w:ascii="宋体" w:eastAsia="宋体" w:hAnsi="宋体"/>
          <w:b/>
          <w:sz w:val="24"/>
        </w:rPr>
      </w:pPr>
      <w:r w:rsidRPr="00EE0AA8">
        <w:rPr>
          <w:rFonts w:ascii="宋体" w:eastAsia="宋体" w:hAnsi="宋体" w:hint="eastAsia"/>
          <w:b/>
          <w:sz w:val="24"/>
        </w:rPr>
        <w:t>执业资格</w:t>
      </w:r>
    </w:p>
    <w:p w14:paraId="3F9FCC22" w14:textId="77777777" w:rsidR="00EE0AA8" w:rsidRDefault="00EE0AA8" w:rsidP="00EE0AA8">
      <w:pPr>
        <w:pStyle w:val="af5"/>
        <w:numPr>
          <w:ilvl w:val="0"/>
          <w:numId w:val="21"/>
        </w:numPr>
        <w:spacing w:before="120"/>
        <w:ind w:left="690" w:hanging="240"/>
        <w:rPr>
          <w:rFonts w:ascii="宋体" w:eastAsia="宋体" w:hAnsi="Times New Roman"/>
          <w:color w:val="000000"/>
        </w:rPr>
      </w:pPr>
      <w:r w:rsidRPr="00EE0AA8">
        <w:rPr>
          <w:rFonts w:ascii="宋体" w:eastAsia="宋体" w:hAnsi="Times New Roman" w:hint="eastAsia"/>
          <w:color w:val="000000"/>
        </w:rPr>
        <w:t>中华人民共和国法律职业资格（非执业）</w:t>
      </w:r>
    </w:p>
    <w:p w14:paraId="24FF880F" w14:textId="77777777" w:rsidR="00EE0AA8" w:rsidRDefault="00EE0AA8" w:rsidP="00EE0AA8">
      <w:pPr>
        <w:pStyle w:val="af5"/>
        <w:numPr>
          <w:ilvl w:val="0"/>
          <w:numId w:val="22"/>
        </w:numPr>
        <w:spacing w:before="120"/>
        <w:ind w:left="690" w:hanging="240"/>
        <w:rPr>
          <w:rFonts w:ascii="宋体" w:eastAsia="宋体" w:hAnsi="Times New Roman"/>
          <w:color w:val="000000"/>
        </w:rPr>
      </w:pPr>
      <w:r w:rsidRPr="00EE0AA8">
        <w:rPr>
          <w:rFonts w:ascii="宋体" w:eastAsia="宋体" w:hAnsi="Times New Roman" w:hint="eastAsia"/>
          <w:color w:val="000000"/>
        </w:rPr>
        <w:t>美国纽约州律师资格（非执业）</w:t>
      </w:r>
    </w:p>
    <w:p w14:paraId="5A99C01E" w14:textId="77777777" w:rsidR="00EE0AA8" w:rsidRDefault="00EE0AA8" w:rsidP="00EE0AA8">
      <w:pPr>
        <w:pStyle w:val="af5"/>
        <w:spacing w:after="0" w:line="480" w:lineRule="auto"/>
        <w:rPr>
          <w:rFonts w:ascii="宋体" w:eastAsia="宋体" w:hAnsi="宋体"/>
          <w:b/>
          <w:sz w:val="24"/>
        </w:rPr>
      </w:pPr>
      <w:r w:rsidRPr="00EE0AA8">
        <w:rPr>
          <w:rFonts w:ascii="宋体" w:eastAsia="宋体" w:hAnsi="宋体" w:hint="eastAsia"/>
          <w:b/>
          <w:sz w:val="24"/>
        </w:rPr>
        <w:t>职业背景</w:t>
      </w:r>
    </w:p>
    <w:p w14:paraId="4F0A196B" w14:textId="6DA6C6A9" w:rsidR="00A46A04" w:rsidRPr="00EE0AA8" w:rsidRDefault="00EE0AA8" w:rsidP="00EE0AA8">
      <w:pPr>
        <w:pStyle w:val="af5"/>
        <w:numPr>
          <w:ilvl w:val="0"/>
          <w:numId w:val="23"/>
        </w:numPr>
        <w:spacing w:before="120"/>
        <w:ind w:left="690" w:hanging="240"/>
        <w:rPr>
          <w:rFonts w:ascii="宋体" w:eastAsia="宋体" w:hAnsi="Times New Roman"/>
          <w:color w:val="000000"/>
        </w:rPr>
      </w:pPr>
      <w:r w:rsidRPr="00EE0AA8">
        <w:rPr>
          <w:rFonts w:ascii="宋体" w:eastAsia="宋体" w:hAnsi="Times New Roman" w:hint="eastAsia"/>
          <w:color w:val="000000"/>
        </w:rPr>
        <w:t>张高翊律师于</w:t>
      </w:r>
      <w:r w:rsidRPr="00EE0AA8">
        <w:rPr>
          <w:rFonts w:ascii="宋体" w:eastAsia="宋体" w:hAnsi="Times New Roman"/>
          <w:color w:val="000000"/>
        </w:rPr>
        <w:t>2021年加入方达律师事务所。在此之前，他曾在一家领先的中国律师事务所工作。</w:t>
      </w:r>
    </w:p>
    <w:sectPr w:rsidR="00A46A04" w:rsidRPr="00EE0A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1A85"/>
    <w:multiLevelType w:val="singleLevel"/>
    <w:tmpl w:val="FEE079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066BA7"/>
    <w:multiLevelType w:val="singleLevel"/>
    <w:tmpl w:val="1A5C9E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8B14F8"/>
    <w:multiLevelType w:val="singleLevel"/>
    <w:tmpl w:val="FE521C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2B6BAD"/>
    <w:multiLevelType w:val="singleLevel"/>
    <w:tmpl w:val="70BAF0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3D023C"/>
    <w:multiLevelType w:val="singleLevel"/>
    <w:tmpl w:val="1D1AC6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E92E5C"/>
    <w:multiLevelType w:val="singleLevel"/>
    <w:tmpl w:val="7DDA83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8A1282"/>
    <w:multiLevelType w:val="singleLevel"/>
    <w:tmpl w:val="C3AE9A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E65AC5"/>
    <w:multiLevelType w:val="singleLevel"/>
    <w:tmpl w:val="E3BE94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AA67B8"/>
    <w:multiLevelType w:val="singleLevel"/>
    <w:tmpl w:val="FF5ACC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5B7F99"/>
    <w:multiLevelType w:val="singleLevel"/>
    <w:tmpl w:val="B54488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B63F97"/>
    <w:multiLevelType w:val="singleLevel"/>
    <w:tmpl w:val="580C32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AC6821"/>
    <w:multiLevelType w:val="singleLevel"/>
    <w:tmpl w:val="8182E4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0306F60"/>
    <w:multiLevelType w:val="singleLevel"/>
    <w:tmpl w:val="4192F0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854EC1"/>
    <w:multiLevelType w:val="singleLevel"/>
    <w:tmpl w:val="8782F6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0E47D2"/>
    <w:multiLevelType w:val="singleLevel"/>
    <w:tmpl w:val="5A782F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6A77CE"/>
    <w:multiLevelType w:val="singleLevel"/>
    <w:tmpl w:val="9752B1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6459D5"/>
    <w:multiLevelType w:val="singleLevel"/>
    <w:tmpl w:val="643E2E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FD3EEA"/>
    <w:multiLevelType w:val="singleLevel"/>
    <w:tmpl w:val="767254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74A2925"/>
    <w:multiLevelType w:val="singleLevel"/>
    <w:tmpl w:val="643E2E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F011A76"/>
    <w:multiLevelType w:val="singleLevel"/>
    <w:tmpl w:val="2B6071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F4848F8"/>
    <w:multiLevelType w:val="singleLevel"/>
    <w:tmpl w:val="1234D96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2"/>
  </w:num>
  <w:num w:numId="4">
    <w:abstractNumId w:val="2"/>
  </w:num>
  <w:num w:numId="5">
    <w:abstractNumId w:val="21"/>
  </w:num>
  <w:num w:numId="6">
    <w:abstractNumId w:val="4"/>
  </w:num>
  <w:num w:numId="7">
    <w:abstractNumId w:val="1"/>
  </w:num>
  <w:num w:numId="8">
    <w:abstractNumId w:val="9"/>
  </w:num>
  <w:num w:numId="9">
    <w:abstractNumId w:val="12"/>
  </w:num>
  <w:num w:numId="10">
    <w:abstractNumId w:val="11"/>
  </w:num>
  <w:num w:numId="11">
    <w:abstractNumId w:val="14"/>
  </w:num>
  <w:num w:numId="12">
    <w:abstractNumId w:val="0"/>
  </w:num>
  <w:num w:numId="13">
    <w:abstractNumId w:val="3"/>
  </w:num>
  <w:num w:numId="14">
    <w:abstractNumId w:val="5"/>
  </w:num>
  <w:num w:numId="15">
    <w:abstractNumId w:val="13"/>
  </w:num>
  <w:num w:numId="16">
    <w:abstractNumId w:val="6"/>
  </w:num>
  <w:num w:numId="17">
    <w:abstractNumId w:val="16"/>
  </w:num>
  <w:num w:numId="18">
    <w:abstractNumId w:val="17"/>
  </w:num>
  <w:num w:numId="19">
    <w:abstractNumId w:val="15"/>
  </w:num>
  <w:num w:numId="20">
    <w:abstractNumId w:val="8"/>
  </w:num>
  <w:num w:numId="21">
    <w:abstractNumId w:val="19"/>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E0AA8"/>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0AA8"/>
    <w:pPr>
      <w:spacing w:after="120"/>
    </w:pPr>
  </w:style>
  <w:style w:type="character" w:customStyle="1" w:styleId="af6">
    <w:name w:val="正文文本 字符"/>
    <w:basedOn w:val="a0"/>
    <w:link w:val="af5"/>
    <w:uiPriority w:val="99"/>
    <w:rsid w:val="00EE0A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D69EC-F8CB-412A-985F-FBD55A5F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621</Characters>
  <Application>Microsoft Office Word</Application>
  <DocSecurity>0</DocSecurity>
  <Lines>5</Lines>
  <Paragraphs>1</Paragraphs>
  <ScaleCrop>false</ScaleCrop>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2026-05-30T09:02:00Z</dcterms:created>
  <dcterms:modified xsi:type="dcterms:W3CDTF">2026-05-30T09:02:00Z</dcterms:modified>
</cp:coreProperties>
</file>