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B9F6AC1" w:rsidR="0049405C" w:rsidRPr="00187BAA" w:rsidRDefault="002F5AEB" w:rsidP="002F5AEB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2F5AEB">
              <w:rPr>
                <w:rFonts w:ascii="宋体" w:eastAsia="宋体" w:hAnsi="Times New Roman" w:hint="eastAsia"/>
                <w:b/>
                <w:color w:val="000000"/>
                <w:sz w:val="48"/>
              </w:rPr>
              <w:t>武成</w:t>
            </w:r>
            <w:bookmarkEnd w:id="0"/>
          </w:p>
          <w:p w14:paraId="706EB16B" w14:textId="7DCF1812" w:rsidR="0049405C" w:rsidRPr="00187BAA" w:rsidRDefault="002F5AEB" w:rsidP="002F5AEB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2F5AEB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0CDB5FF5" w:rsidR="0049405C" w:rsidRPr="00187BAA" w:rsidRDefault="002F5AEB" w:rsidP="002F5AEB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2F5AEB">
              <w:rPr>
                <w:rFonts w:ascii="宋体" w:eastAsia="宋体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56FCDF64" w:rsidR="0049405C" w:rsidRPr="00187BAA" w:rsidRDefault="002F5AEB" w:rsidP="002F5AEB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2F5AEB">
              <w:rPr>
                <w:rFonts w:ascii="宋体" w:eastAsia="宋体" w:hAnsi="Times New Roman"/>
                <w:color w:val="000000"/>
              </w:rPr>
              <w:t>Cheng.Wu@fangdalaw.com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6FC10E2" w:rsidR="0049405C" w:rsidRPr="00187BAA" w:rsidRDefault="002F5AEB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F2083BE" wp14:editId="086D654C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E12F1AB" w:rsidR="009465FB" w:rsidRPr="00187BAA" w:rsidRDefault="002F5AEB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2F5AEB">
              <w:rPr>
                <w:rFonts w:ascii="宋体" w:eastAsia="宋体" w:hAnsi="Times New Roman" w:hint="eastAsia"/>
                <w:color w:val="000000"/>
                <w:szCs w:val="21"/>
              </w:rPr>
              <w:t>武成律师的主要执业领域包括境内外证券发行与上市、上市公司并购重组和一般公司业务等。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4DD6C93" w14:textId="77777777" w:rsidR="002F5AEB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D5EB865" w14:textId="77777777" w:rsidR="002F5AEB" w:rsidRDefault="002F5AEB" w:rsidP="002F5AE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F5AEB">
        <w:rPr>
          <w:rFonts w:ascii="宋体" w:eastAsia="宋体" w:hAnsi="宋体" w:hint="eastAsia"/>
          <w:b/>
          <w:sz w:val="24"/>
        </w:rPr>
        <w:t>近期代理的主要案件</w:t>
      </w:r>
    </w:p>
    <w:p w14:paraId="7FC7E423" w14:textId="77777777" w:rsidR="002F5AEB" w:rsidRDefault="002F5AEB" w:rsidP="002F5AEB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229D8699" w14:textId="77777777" w:rsidR="002F5AEB" w:rsidRDefault="002F5AEB" w:rsidP="002F5AEB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代表瑞浦兰钧（</w:t>
      </w:r>
      <w:r w:rsidRPr="002F5AEB">
        <w:rPr>
          <w:rFonts w:ascii="宋体" w:eastAsia="宋体" w:hAnsi="Times New Roman"/>
          <w:color w:val="000000"/>
        </w:rPr>
        <w:t>00666.HK）首次公开发行H股并在香港联交所主板上市</w:t>
      </w:r>
    </w:p>
    <w:p w14:paraId="2B07DA2D" w14:textId="77777777" w:rsidR="002F5AEB" w:rsidRDefault="002F5AEB" w:rsidP="002F5AEB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代表望变电气（</w:t>
      </w:r>
      <w:r w:rsidRPr="002F5AEB">
        <w:rPr>
          <w:rFonts w:ascii="宋体" w:eastAsia="宋体" w:hAnsi="Times New Roman"/>
          <w:color w:val="000000"/>
        </w:rPr>
        <w:t>603191.SH）首次公开发行A股并在上交所主板上市</w:t>
      </w:r>
    </w:p>
    <w:p w14:paraId="79B0DAB9" w14:textId="77777777" w:rsidR="002F5AEB" w:rsidRDefault="002F5AEB" w:rsidP="002F5AEB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代表保荐机构参与禾川科技（</w:t>
      </w:r>
      <w:r w:rsidRPr="002F5AEB">
        <w:rPr>
          <w:rFonts w:ascii="宋体" w:eastAsia="宋体" w:hAnsi="Times New Roman"/>
          <w:color w:val="000000"/>
        </w:rPr>
        <w:t>688320.SH）首次公开发行A股并在上交所科创板上市</w:t>
      </w:r>
    </w:p>
    <w:p w14:paraId="65F38E05" w14:textId="77777777" w:rsidR="002F5AEB" w:rsidRDefault="002F5AEB" w:rsidP="002F5AEB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代表亚虹医药（</w:t>
      </w:r>
      <w:r w:rsidRPr="002F5AEB">
        <w:rPr>
          <w:rFonts w:ascii="宋体" w:eastAsia="宋体" w:hAnsi="Times New Roman"/>
          <w:color w:val="000000"/>
        </w:rPr>
        <w:t>688176.SH）首次公开发行A股并在上交所科创板上市</w:t>
      </w:r>
    </w:p>
    <w:p w14:paraId="7A29FA15" w14:textId="77777777" w:rsidR="002F5AEB" w:rsidRDefault="002F5AEB" w:rsidP="002F5AEB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代表上海凯鑫（</w:t>
      </w:r>
      <w:r w:rsidRPr="002F5AEB">
        <w:rPr>
          <w:rFonts w:ascii="宋体" w:eastAsia="宋体" w:hAnsi="Times New Roman"/>
          <w:color w:val="000000"/>
        </w:rPr>
        <w:t>300899.SZ）首次公开发行A股并在深交所创业板上市</w:t>
      </w:r>
    </w:p>
    <w:p w14:paraId="37A120F7" w14:textId="77777777" w:rsidR="002F5AEB" w:rsidRDefault="002F5AEB" w:rsidP="002F5AEB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代表保荐机构参与心脉医疗（</w:t>
      </w:r>
      <w:r w:rsidRPr="002F5AEB">
        <w:rPr>
          <w:rFonts w:ascii="宋体" w:eastAsia="宋体" w:hAnsi="Times New Roman"/>
          <w:color w:val="000000"/>
        </w:rPr>
        <w:t>688016.SZ）首次公开发行A股并在上交所科创板上市</w:t>
      </w:r>
    </w:p>
    <w:p w14:paraId="2D62FB73" w14:textId="77777777" w:rsidR="002F5AEB" w:rsidRDefault="002F5AEB" w:rsidP="002F5AEB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代表浙商证券（</w:t>
      </w:r>
      <w:r w:rsidRPr="002F5AEB">
        <w:rPr>
          <w:rFonts w:ascii="宋体" w:eastAsia="宋体" w:hAnsi="Times New Roman"/>
          <w:color w:val="000000"/>
        </w:rPr>
        <w:t>601878.SH）首次公开发行A股并在上交所主板上市、2019年发行可转换公司债券、2021年非公开发行、2022年发行可转换公司债券、发行公司债、次级债、短期融资券等</w:t>
      </w:r>
    </w:p>
    <w:p w14:paraId="08C564CB" w14:textId="77777777" w:rsidR="002F5AEB" w:rsidRDefault="002F5AEB" w:rsidP="002F5AEB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代表道远资本投资智束科技</w:t>
      </w:r>
    </w:p>
    <w:p w14:paraId="1E4490B2" w14:textId="77777777" w:rsidR="002F5AEB" w:rsidRDefault="002F5AEB" w:rsidP="002F5AEB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代表瑞浦兰钧进行</w:t>
      </w:r>
      <w:r w:rsidRPr="002F5AEB">
        <w:rPr>
          <w:rFonts w:ascii="宋体" w:eastAsia="宋体" w:hAnsi="Times New Roman"/>
          <w:color w:val="000000"/>
        </w:rPr>
        <w:t>A轮融资及B轮融资</w:t>
      </w:r>
    </w:p>
    <w:p w14:paraId="608519E8" w14:textId="77777777" w:rsidR="002F5AEB" w:rsidRDefault="002F5AEB" w:rsidP="002F5AEB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代表克劳丽进行</w:t>
      </w:r>
      <w:r w:rsidRPr="002F5AEB">
        <w:rPr>
          <w:rFonts w:ascii="宋体" w:eastAsia="宋体" w:hAnsi="Times New Roman"/>
          <w:color w:val="000000"/>
        </w:rPr>
        <w:t>A轮融资及B轮融资</w:t>
      </w:r>
    </w:p>
    <w:p w14:paraId="71B29360" w14:textId="77777777" w:rsidR="002F5AEB" w:rsidRDefault="002F5AEB" w:rsidP="002F5AEB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代表海大集团（</w:t>
      </w:r>
      <w:r w:rsidRPr="002F5AEB">
        <w:rPr>
          <w:rFonts w:ascii="宋体" w:eastAsia="宋体" w:hAnsi="Times New Roman"/>
          <w:color w:val="000000"/>
        </w:rPr>
        <w:t>002311.SZ）收购江门得宝集团</w:t>
      </w:r>
    </w:p>
    <w:p w14:paraId="0EF964AF" w14:textId="77777777" w:rsidR="002F5AEB" w:rsidRDefault="002F5AEB" w:rsidP="002F5AEB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代表中芯聚源投资力芯微</w:t>
      </w:r>
    </w:p>
    <w:p w14:paraId="1331E313" w14:textId="77777777" w:rsidR="002F5AEB" w:rsidRDefault="002F5AEB" w:rsidP="002F5AEB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代表新苏环保收购雪浪环境</w:t>
      </w:r>
    </w:p>
    <w:p w14:paraId="27D29F3E" w14:textId="77777777" w:rsidR="002F5AEB" w:rsidRDefault="002F5AEB" w:rsidP="002F5AEB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代表上海坦达收购九江赛晶科技</w:t>
      </w:r>
    </w:p>
    <w:p w14:paraId="42D81AB4" w14:textId="77777777" w:rsidR="002F5AEB" w:rsidRDefault="002F5AEB" w:rsidP="002F5AEB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代表临芯投资收购东芯通信</w:t>
      </w:r>
    </w:p>
    <w:p w14:paraId="76505BCC" w14:textId="77777777" w:rsidR="002F5AEB" w:rsidRDefault="002F5AEB" w:rsidP="002F5AEB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代表新华资本投资复宏汉霖</w:t>
      </w:r>
    </w:p>
    <w:p w14:paraId="30075996" w14:textId="77777777" w:rsidR="002F5AEB" w:rsidRDefault="002F5AEB" w:rsidP="002F5AEB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代表上海凯鑫、望变电气、华特装饰新三板摘牌</w:t>
      </w:r>
    </w:p>
    <w:p w14:paraId="1553EADF" w14:textId="77777777" w:rsidR="002F5AEB" w:rsidRDefault="002F5AEB" w:rsidP="002F5AEB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代表华特装饰、东方誉源新三板定增</w:t>
      </w:r>
    </w:p>
    <w:p w14:paraId="07521F7D" w14:textId="77777777" w:rsidR="002F5AEB" w:rsidRDefault="002F5AEB" w:rsidP="002F5AEB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代表柯菲平、华特装饰新三板挂牌</w:t>
      </w:r>
    </w:p>
    <w:p w14:paraId="31A6310F" w14:textId="77777777" w:rsidR="002F5AEB" w:rsidRDefault="002F5AEB" w:rsidP="002F5AE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F5AEB">
        <w:rPr>
          <w:rFonts w:ascii="宋体" w:eastAsia="宋体" w:hAnsi="宋体" w:hint="eastAsia"/>
          <w:b/>
          <w:sz w:val="24"/>
        </w:rPr>
        <w:t>教育背景</w:t>
      </w:r>
    </w:p>
    <w:p w14:paraId="0F307817" w14:textId="77777777" w:rsidR="002F5AEB" w:rsidRDefault="002F5AEB" w:rsidP="002F5AEB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华东政法大学，法学学士，</w:t>
      </w:r>
      <w:r w:rsidRPr="002F5AEB">
        <w:rPr>
          <w:rFonts w:ascii="宋体" w:eastAsia="宋体" w:hAnsi="Times New Roman"/>
          <w:color w:val="000000"/>
        </w:rPr>
        <w:t>2013</w:t>
      </w:r>
    </w:p>
    <w:p w14:paraId="368A1FCF" w14:textId="77777777" w:rsidR="002F5AEB" w:rsidRDefault="002F5AEB" w:rsidP="002F5AEB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上海外国语大学，文学学士，</w:t>
      </w:r>
      <w:r w:rsidRPr="002F5AEB">
        <w:rPr>
          <w:rFonts w:ascii="宋体" w:eastAsia="宋体" w:hAnsi="Times New Roman"/>
          <w:color w:val="000000"/>
        </w:rPr>
        <w:t>2013</w:t>
      </w:r>
    </w:p>
    <w:p w14:paraId="6F49EF1E" w14:textId="77777777" w:rsidR="002F5AEB" w:rsidRDefault="002F5AEB" w:rsidP="002F5AEB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上海社会科学院，法学硕士，</w:t>
      </w:r>
      <w:r w:rsidRPr="002F5AEB">
        <w:rPr>
          <w:rFonts w:ascii="宋体" w:eastAsia="宋体" w:hAnsi="Times New Roman"/>
          <w:color w:val="000000"/>
        </w:rPr>
        <w:t>2016</w:t>
      </w:r>
    </w:p>
    <w:p w14:paraId="3C9CBF1F" w14:textId="77777777" w:rsidR="002F5AEB" w:rsidRDefault="002F5AEB" w:rsidP="002F5AE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F5AEB">
        <w:rPr>
          <w:rFonts w:ascii="宋体" w:eastAsia="宋体" w:hAnsi="宋体" w:hint="eastAsia"/>
          <w:b/>
          <w:sz w:val="24"/>
        </w:rPr>
        <w:t>执业资格</w:t>
      </w:r>
    </w:p>
    <w:p w14:paraId="68ED5653" w14:textId="77777777" w:rsidR="002F5AEB" w:rsidRDefault="002F5AEB" w:rsidP="002F5AEB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中华人民共和国执业律师</w:t>
      </w:r>
    </w:p>
    <w:p w14:paraId="098C4926" w14:textId="77777777" w:rsidR="002F5AEB" w:rsidRDefault="002F5AEB" w:rsidP="002F5AE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F5AEB">
        <w:rPr>
          <w:rFonts w:ascii="宋体" w:eastAsia="宋体" w:hAnsi="宋体" w:hint="eastAsia"/>
          <w:b/>
          <w:sz w:val="24"/>
        </w:rPr>
        <w:t>职业背景</w:t>
      </w:r>
    </w:p>
    <w:p w14:paraId="4F0A196B" w14:textId="32AF2AC3" w:rsidR="00A46A04" w:rsidRPr="002F5AEB" w:rsidRDefault="002F5AEB" w:rsidP="002F5AEB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5AEB">
        <w:rPr>
          <w:rFonts w:ascii="宋体" w:eastAsia="宋体" w:hAnsi="Times New Roman" w:hint="eastAsia"/>
          <w:color w:val="000000"/>
        </w:rPr>
        <w:t>武律师</w:t>
      </w:r>
      <w:r w:rsidRPr="002F5AEB">
        <w:rPr>
          <w:rFonts w:ascii="宋体" w:eastAsia="宋体" w:hAnsi="Times New Roman"/>
          <w:color w:val="000000"/>
        </w:rPr>
        <w:t>2022年加入方达律师事务所。在此之前，他曾在一家资本市场领先的律师事务所工作。</w:t>
      </w:r>
    </w:p>
    <w:sectPr w:rsidR="00A46A04" w:rsidRPr="002F5AE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03819"/>
    <w:multiLevelType w:val="singleLevel"/>
    <w:tmpl w:val="01D24F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E5916FE"/>
    <w:multiLevelType w:val="singleLevel"/>
    <w:tmpl w:val="ACB2A4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BF17DA"/>
    <w:multiLevelType w:val="singleLevel"/>
    <w:tmpl w:val="C76AC6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C01DC5"/>
    <w:multiLevelType w:val="singleLevel"/>
    <w:tmpl w:val="0A1054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0979C6"/>
    <w:multiLevelType w:val="singleLevel"/>
    <w:tmpl w:val="7D7EAA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43075E"/>
    <w:multiLevelType w:val="singleLevel"/>
    <w:tmpl w:val="F0DE32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62774F"/>
    <w:multiLevelType w:val="singleLevel"/>
    <w:tmpl w:val="6122D3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8335C2C"/>
    <w:multiLevelType w:val="singleLevel"/>
    <w:tmpl w:val="AF1C4D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98764BC"/>
    <w:multiLevelType w:val="singleLevel"/>
    <w:tmpl w:val="5E1492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B9A758E"/>
    <w:multiLevelType w:val="singleLevel"/>
    <w:tmpl w:val="8E7CAA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2FC71367"/>
    <w:multiLevelType w:val="singleLevel"/>
    <w:tmpl w:val="CFBC1F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1165BF9"/>
    <w:multiLevelType w:val="singleLevel"/>
    <w:tmpl w:val="3BDE46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4F02B47"/>
    <w:multiLevelType w:val="singleLevel"/>
    <w:tmpl w:val="75C8F7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AD53CEF"/>
    <w:multiLevelType w:val="singleLevel"/>
    <w:tmpl w:val="0A1054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1022AFE"/>
    <w:multiLevelType w:val="singleLevel"/>
    <w:tmpl w:val="580678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B803F02"/>
    <w:multiLevelType w:val="singleLevel"/>
    <w:tmpl w:val="3D5AEE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1561FEF"/>
    <w:multiLevelType w:val="singleLevel"/>
    <w:tmpl w:val="4E72D2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DB14F4"/>
    <w:multiLevelType w:val="singleLevel"/>
    <w:tmpl w:val="9ED84C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A6C1D22"/>
    <w:multiLevelType w:val="singleLevel"/>
    <w:tmpl w:val="172A2A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A815FCB"/>
    <w:multiLevelType w:val="singleLevel"/>
    <w:tmpl w:val="F08817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D08547B"/>
    <w:multiLevelType w:val="singleLevel"/>
    <w:tmpl w:val="0E16E4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E455833"/>
    <w:multiLevelType w:val="singleLevel"/>
    <w:tmpl w:val="C902F0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6AF2276"/>
    <w:multiLevelType w:val="singleLevel"/>
    <w:tmpl w:val="15FE15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73045D3"/>
    <w:multiLevelType w:val="singleLevel"/>
    <w:tmpl w:val="75CCB3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E6D7A51"/>
    <w:multiLevelType w:val="singleLevel"/>
    <w:tmpl w:val="920C81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5"/>
  </w:num>
  <w:num w:numId="3">
    <w:abstractNumId w:val="20"/>
  </w:num>
  <w:num w:numId="4">
    <w:abstractNumId w:val="1"/>
  </w:num>
  <w:num w:numId="5">
    <w:abstractNumId w:val="4"/>
  </w:num>
  <w:num w:numId="6">
    <w:abstractNumId w:val="23"/>
  </w:num>
  <w:num w:numId="7">
    <w:abstractNumId w:val="21"/>
  </w:num>
  <w:num w:numId="8">
    <w:abstractNumId w:val="22"/>
  </w:num>
  <w:num w:numId="9">
    <w:abstractNumId w:val="9"/>
  </w:num>
  <w:num w:numId="10">
    <w:abstractNumId w:val="11"/>
  </w:num>
  <w:num w:numId="11">
    <w:abstractNumId w:val="5"/>
  </w:num>
  <w:num w:numId="12">
    <w:abstractNumId w:val="8"/>
  </w:num>
  <w:num w:numId="13">
    <w:abstractNumId w:val="16"/>
  </w:num>
  <w:num w:numId="14">
    <w:abstractNumId w:val="26"/>
  </w:num>
  <w:num w:numId="15">
    <w:abstractNumId w:val="13"/>
  </w:num>
  <w:num w:numId="16">
    <w:abstractNumId w:val="0"/>
  </w:num>
  <w:num w:numId="17">
    <w:abstractNumId w:val="17"/>
  </w:num>
  <w:num w:numId="18">
    <w:abstractNumId w:val="19"/>
  </w:num>
  <w:num w:numId="19">
    <w:abstractNumId w:val="24"/>
  </w:num>
  <w:num w:numId="20">
    <w:abstractNumId w:val="25"/>
  </w:num>
  <w:num w:numId="21">
    <w:abstractNumId w:val="12"/>
  </w:num>
  <w:num w:numId="22">
    <w:abstractNumId w:val="2"/>
  </w:num>
  <w:num w:numId="23">
    <w:abstractNumId w:val="6"/>
  </w:num>
  <w:num w:numId="24">
    <w:abstractNumId w:val="18"/>
  </w:num>
  <w:num w:numId="25">
    <w:abstractNumId w:val="7"/>
  </w:num>
  <w:num w:numId="26">
    <w:abstractNumId w:val="14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2F5AEB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F5AE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F5AE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E8E957D-5FD4-4129-9612-49D4C0321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2026-05-09T18:57:00Z</dcterms:created>
  <dcterms:modified xsi:type="dcterms:W3CDTF">2026-05-09T18:57:00Z</dcterms:modified>
</cp:coreProperties>
</file>