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8420EDF" w:rsidR="0049405C" w:rsidRPr="00187BAA" w:rsidRDefault="00B800E0" w:rsidP="00B800E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800E0">
              <w:rPr>
                <w:rFonts w:ascii="宋体" w:eastAsia="宋体" w:hAnsi="Times New Roman" w:hint="eastAsia"/>
                <w:b/>
                <w:color w:val="000000"/>
                <w:sz w:val="48"/>
              </w:rPr>
              <w:t>胡震远</w:t>
            </w:r>
            <w:bookmarkEnd w:id="0"/>
          </w:p>
          <w:p w14:paraId="706EB16B" w14:textId="79415F1E" w:rsidR="0049405C" w:rsidRPr="00187BAA" w:rsidRDefault="00B800E0" w:rsidP="00B800E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800E0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5BEB077F" w:rsidR="0049405C" w:rsidRPr="00187BAA" w:rsidRDefault="00B800E0" w:rsidP="00B800E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800E0">
              <w:rPr>
                <w:rFonts w:ascii="宋体" w:eastAsia="宋体" w:hAnsi="Times New Roman"/>
                <w:color w:val="000000"/>
              </w:rPr>
              <w:t xml:space="preserve">+86 21 2208 1194 </w:t>
            </w:r>
            <w:bookmarkEnd w:id="3"/>
          </w:p>
          <w:p w14:paraId="4F910ACA" w14:textId="628B67E1" w:rsidR="0049405C" w:rsidRPr="00187BAA" w:rsidRDefault="00B800E0" w:rsidP="00B800E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800E0">
              <w:rPr>
                <w:rFonts w:ascii="宋体" w:eastAsia="宋体" w:hAnsi="Times New Roman"/>
                <w:color w:val="000000"/>
              </w:rPr>
              <w:t>giant.hu@fangdalaw.com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D25EB2" w:rsidR="0049405C" w:rsidRPr="00187BAA" w:rsidRDefault="00B800E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687A7B4" wp14:editId="2E5255B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91D0D4A" w:rsidR="009465FB" w:rsidRPr="00187BAA" w:rsidRDefault="00B800E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800E0">
              <w:rPr>
                <w:rFonts w:ascii="宋体" w:eastAsia="宋体" w:hAnsi="Times New Roman" w:hint="eastAsia"/>
                <w:color w:val="000000"/>
                <w:szCs w:val="21"/>
              </w:rPr>
              <w:t>胡律师擅长争议解决，尤其是知识产权法、竞争法和商法领域的复杂纠纷解决，对诉讼和仲裁实务有着丰富的经验和深刻的洞察。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9B426CD" w14:textId="77777777" w:rsidR="00B800E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02189A5" w14:textId="77777777" w:rsidR="00B800E0" w:rsidRDefault="00B800E0" w:rsidP="00B800E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00E0">
        <w:rPr>
          <w:rFonts w:ascii="宋体" w:eastAsia="宋体" w:hAnsi="宋体" w:hint="eastAsia"/>
          <w:b/>
          <w:sz w:val="24"/>
        </w:rPr>
        <w:t>近期代理的主要案件</w:t>
      </w:r>
    </w:p>
    <w:p w14:paraId="2CC48A9B" w14:textId="77777777" w:rsidR="00B800E0" w:rsidRDefault="00B800E0" w:rsidP="00B800E0">
      <w:pPr>
        <w:pStyle w:val="af5"/>
        <w:spacing w:before="12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代表性知识产权业务</w:t>
      </w:r>
    </w:p>
    <w:p w14:paraId="07B7D475" w14:textId="77777777" w:rsidR="00B800E0" w:rsidRDefault="00B800E0" w:rsidP="00B800E0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为交互数字（</w:t>
      </w:r>
      <w:r w:rsidRPr="00B800E0">
        <w:rPr>
          <w:rFonts w:ascii="宋体" w:eastAsia="宋体" w:hAnsi="Times New Roman"/>
          <w:color w:val="000000"/>
        </w:rPr>
        <w:t>InterDigital）提供标准必要专利策略咨询</w:t>
      </w:r>
    </w:p>
    <w:p w14:paraId="29623162" w14:textId="77777777" w:rsidR="00B800E0" w:rsidRDefault="00B800E0" w:rsidP="00B800E0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为英特尔（</w:t>
      </w:r>
      <w:r w:rsidRPr="00B800E0">
        <w:rPr>
          <w:rFonts w:ascii="宋体" w:eastAsia="宋体" w:hAnsi="Times New Roman"/>
          <w:color w:val="000000"/>
        </w:rPr>
        <w:t>Intel）应对专利侵权纠纷提供策略咨询</w:t>
      </w:r>
    </w:p>
    <w:p w14:paraId="235EDDC1" w14:textId="77777777" w:rsidR="00B800E0" w:rsidRDefault="00B800E0" w:rsidP="00B800E0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代表安道拓（</w:t>
      </w:r>
      <w:r w:rsidRPr="00B800E0">
        <w:rPr>
          <w:rFonts w:ascii="宋体" w:eastAsia="宋体" w:hAnsi="Times New Roman"/>
          <w:color w:val="000000"/>
        </w:rPr>
        <w:t>Adient）成功宣告对方专利无效</w:t>
      </w:r>
    </w:p>
    <w:p w14:paraId="7EB3DACD" w14:textId="77777777" w:rsidR="00B800E0" w:rsidRDefault="00B800E0" w:rsidP="00B800E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代表嘉吉（</w:t>
      </w:r>
      <w:r w:rsidRPr="00B800E0">
        <w:rPr>
          <w:rFonts w:ascii="宋体" w:eastAsia="宋体" w:hAnsi="Times New Roman"/>
          <w:color w:val="000000"/>
        </w:rPr>
        <w:t>Cargill）应对专利无效侵权赔偿诉讼，获得胜诉</w:t>
      </w:r>
    </w:p>
    <w:p w14:paraId="40D5E471" w14:textId="77777777" w:rsidR="00B800E0" w:rsidRDefault="00B800E0" w:rsidP="00B800E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代表追觅应对而科沃斯</w:t>
      </w:r>
      <w:r w:rsidRPr="00B800E0">
        <w:rPr>
          <w:rFonts w:ascii="宋体" w:eastAsia="宋体" w:hAnsi="Times New Roman"/>
          <w:color w:val="000000"/>
        </w:rPr>
        <w:t>GUI外观设计专利侵权诉讼，获得胜诉</w:t>
      </w:r>
    </w:p>
    <w:p w14:paraId="68D117A3" w14:textId="77777777" w:rsidR="00B800E0" w:rsidRDefault="00B800E0" w:rsidP="00B800E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</w:t>
      </w:r>
      <w:r w:rsidRPr="00B800E0">
        <w:rPr>
          <w:rFonts w:ascii="宋体" w:eastAsia="宋体" w:hAnsi="Times New Roman"/>
          <w:color w:val="000000"/>
        </w:rPr>
        <w:t>B站成功应对腾讯发起的著作权侵权诉讼，对方撤诉</w:t>
      </w:r>
    </w:p>
    <w:p w14:paraId="360880B7" w14:textId="77777777" w:rsidR="00B800E0" w:rsidRDefault="00B800E0" w:rsidP="00B800E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代表德威士（</w:t>
      </w:r>
      <w:r w:rsidRPr="00B800E0">
        <w:rPr>
          <w:rFonts w:ascii="宋体" w:eastAsia="宋体" w:hAnsi="Times New Roman"/>
          <w:color w:val="000000"/>
        </w:rPr>
        <w:t>Dulwich）成功应对商标行政诉讼，法院撤销行政决定</w:t>
      </w:r>
    </w:p>
    <w:p w14:paraId="1176A8A3" w14:textId="77777777" w:rsidR="00B800E0" w:rsidRDefault="00B800E0" w:rsidP="00B800E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为上海风电集团提供专利咨询服务</w:t>
      </w:r>
    </w:p>
    <w:p w14:paraId="05D38360" w14:textId="77777777" w:rsidR="00B800E0" w:rsidRDefault="00B800E0" w:rsidP="00B800E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为小林制药提供专利稳定性分析</w:t>
      </w:r>
    </w:p>
    <w:p w14:paraId="780D204C" w14:textId="77777777" w:rsidR="00B800E0" w:rsidRDefault="00B800E0" w:rsidP="00B800E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为博世（</w:t>
      </w:r>
      <w:r w:rsidRPr="00B800E0">
        <w:rPr>
          <w:rFonts w:ascii="宋体" w:eastAsia="宋体" w:hAnsi="Times New Roman"/>
          <w:color w:val="000000"/>
        </w:rPr>
        <w:t>Bosch）提供专利许可咨询</w:t>
      </w:r>
    </w:p>
    <w:p w14:paraId="2DF3E150" w14:textId="77777777" w:rsidR="00B800E0" w:rsidRDefault="00B800E0" w:rsidP="00B800E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为华平（</w:t>
      </w:r>
      <w:r w:rsidRPr="00B800E0">
        <w:rPr>
          <w:rFonts w:ascii="宋体" w:eastAsia="宋体" w:hAnsi="Times New Roman"/>
          <w:color w:val="000000"/>
        </w:rPr>
        <w:t>Warburg Pincus）提供专利许可咨询</w:t>
      </w:r>
    </w:p>
    <w:p w14:paraId="3BFEEDA1" w14:textId="77777777" w:rsidR="00B800E0" w:rsidRDefault="00B800E0" w:rsidP="00B800E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为大金氟化工就潜在专利侵权案提供咨询</w:t>
      </w:r>
    </w:p>
    <w:p w14:paraId="53B293F4" w14:textId="77777777" w:rsidR="00B800E0" w:rsidRDefault="00B800E0" w:rsidP="00B800E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代表無印良品（</w:t>
      </w:r>
      <w:r w:rsidRPr="00B800E0">
        <w:rPr>
          <w:rFonts w:ascii="宋体" w:eastAsia="宋体" w:hAnsi="Times New Roman"/>
          <w:color w:val="000000"/>
        </w:rPr>
        <w:t>MUJI）成功进行商标侵权诉讼，获得胜诉</w:t>
      </w:r>
    </w:p>
    <w:p w14:paraId="1B32B7A6" w14:textId="77777777" w:rsidR="00B800E0" w:rsidRDefault="00B800E0" w:rsidP="00B800E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为露露乐萌（</w:t>
      </w:r>
      <w:r w:rsidRPr="00B800E0">
        <w:rPr>
          <w:rFonts w:ascii="宋体" w:eastAsia="宋体" w:hAnsi="Times New Roman"/>
          <w:color w:val="000000"/>
        </w:rPr>
        <w:t>Lululemon）提供知识产权协议分析</w:t>
      </w:r>
    </w:p>
    <w:p w14:paraId="78704BD1" w14:textId="77777777" w:rsidR="00B800E0" w:rsidRDefault="00B800E0" w:rsidP="00B800E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为维谛（</w:t>
      </w:r>
      <w:r w:rsidRPr="00B800E0">
        <w:rPr>
          <w:rFonts w:ascii="宋体" w:eastAsia="宋体" w:hAnsi="Times New Roman"/>
          <w:color w:val="000000"/>
        </w:rPr>
        <w:t>Vertiv）提供商标业务咨询</w:t>
      </w:r>
    </w:p>
    <w:p w14:paraId="47308964" w14:textId="77777777" w:rsidR="00B800E0" w:rsidRDefault="00B800E0" w:rsidP="00B800E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为琳玛（</w:t>
      </w:r>
      <w:r w:rsidRPr="00B800E0">
        <w:rPr>
          <w:rFonts w:ascii="宋体" w:eastAsia="宋体" w:hAnsi="Times New Roman"/>
          <w:color w:val="000000"/>
        </w:rPr>
        <w:t>MaxMara）就保护商标权提供咨询</w:t>
      </w:r>
    </w:p>
    <w:p w14:paraId="5A27AF65" w14:textId="77777777" w:rsidR="00B800E0" w:rsidRDefault="00B800E0" w:rsidP="00B800E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为威格斯（</w:t>
      </w:r>
      <w:r w:rsidRPr="00B800E0">
        <w:rPr>
          <w:rFonts w:ascii="宋体" w:eastAsia="宋体" w:hAnsi="Times New Roman"/>
          <w:color w:val="000000"/>
        </w:rPr>
        <w:t>Victrex）就保护商标权提供咨询</w:t>
      </w:r>
    </w:p>
    <w:p w14:paraId="4169107D" w14:textId="77777777" w:rsidR="00B800E0" w:rsidRDefault="00B800E0" w:rsidP="00B800E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为万豪（</w:t>
      </w:r>
      <w:r w:rsidRPr="00B800E0">
        <w:rPr>
          <w:rFonts w:ascii="宋体" w:eastAsia="宋体" w:hAnsi="Times New Roman"/>
          <w:color w:val="000000"/>
        </w:rPr>
        <w:t>Marriott）提供商标业务咨询</w:t>
      </w:r>
    </w:p>
    <w:p w14:paraId="5382DA62" w14:textId="77777777" w:rsidR="00B800E0" w:rsidRDefault="00B800E0" w:rsidP="00B800E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为科思创（</w:t>
      </w:r>
      <w:r w:rsidRPr="00B800E0">
        <w:rPr>
          <w:rFonts w:ascii="宋体" w:eastAsia="宋体" w:hAnsi="Times New Roman"/>
          <w:color w:val="000000"/>
        </w:rPr>
        <w:t>Covestro）提供商标业务咨询</w:t>
      </w:r>
    </w:p>
    <w:p w14:paraId="66371A55" w14:textId="77777777" w:rsidR="00B800E0" w:rsidRDefault="00B800E0" w:rsidP="00B800E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为上海城投集团提供商标业务咨询</w:t>
      </w:r>
    </w:p>
    <w:p w14:paraId="1E89F0BC" w14:textId="77777777" w:rsidR="00B800E0" w:rsidRDefault="00B800E0" w:rsidP="00B800E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为海尔集团就商标海外授权提供咨询</w:t>
      </w:r>
    </w:p>
    <w:p w14:paraId="705DC9B4" w14:textId="77777777" w:rsidR="00B800E0" w:rsidRDefault="00B800E0" w:rsidP="00B800E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担任希音（</w:t>
      </w:r>
      <w:r w:rsidRPr="00B800E0">
        <w:rPr>
          <w:rFonts w:ascii="宋体" w:eastAsia="宋体" w:hAnsi="Times New Roman"/>
          <w:color w:val="000000"/>
        </w:rPr>
        <w:t>Shein）在英国版权诉讼中的中国法专家证人</w:t>
      </w:r>
    </w:p>
    <w:p w14:paraId="4D1D5EA9" w14:textId="77777777" w:rsidR="00B800E0" w:rsidRDefault="00B800E0" w:rsidP="00B800E0">
      <w:pPr>
        <w:pStyle w:val="af5"/>
        <w:spacing w:before="12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代表性竞争法业务</w:t>
      </w:r>
    </w:p>
    <w:p w14:paraId="2F8F519E" w14:textId="77777777" w:rsidR="00B800E0" w:rsidRDefault="00B800E0" w:rsidP="00B800E0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代表美国半导体设备制造业某全球</w:t>
      </w:r>
      <w:r w:rsidRPr="00B800E0">
        <w:rPr>
          <w:rFonts w:ascii="宋体" w:eastAsia="宋体" w:hAnsi="Times New Roman"/>
          <w:color w:val="000000"/>
        </w:rPr>
        <w:t>500强企业进行商业秘密诉讼</w:t>
      </w:r>
    </w:p>
    <w:p w14:paraId="1B9329F7" w14:textId="77777777" w:rsidR="00B800E0" w:rsidRDefault="00B800E0" w:rsidP="00B800E0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为苹果（</w:t>
      </w:r>
      <w:r w:rsidRPr="00B800E0">
        <w:rPr>
          <w:rFonts w:ascii="宋体" w:eastAsia="宋体" w:hAnsi="Times New Roman"/>
          <w:color w:val="000000"/>
        </w:rPr>
        <w:t>Apple）提供反不正当竞争法的策略咨询</w:t>
      </w:r>
    </w:p>
    <w:p w14:paraId="73C0644E" w14:textId="77777777" w:rsidR="00B800E0" w:rsidRDefault="00B800E0" w:rsidP="00B800E0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代表奥的斯（</w:t>
      </w:r>
      <w:r w:rsidRPr="00B800E0">
        <w:rPr>
          <w:rFonts w:ascii="宋体" w:eastAsia="宋体" w:hAnsi="Times New Roman"/>
          <w:color w:val="000000"/>
        </w:rPr>
        <w:t>OTIS）通过诉前禁令成功应对前员工侵害商业秘密事宜</w:t>
      </w:r>
    </w:p>
    <w:p w14:paraId="5E156770" w14:textId="77777777" w:rsidR="00B800E0" w:rsidRDefault="00B800E0" w:rsidP="00B800E0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代表汇成成功应对商业秘密诉讼，获得胜诉</w:t>
      </w:r>
    </w:p>
    <w:p w14:paraId="66253BCD" w14:textId="77777777" w:rsidR="00B800E0" w:rsidRDefault="00B800E0" w:rsidP="00B800E0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代表瓮福集团处理商业秘密刑事案件</w:t>
      </w:r>
    </w:p>
    <w:p w14:paraId="7EC7E4AB" w14:textId="77777777" w:rsidR="00B800E0" w:rsidRDefault="00B800E0" w:rsidP="00B800E0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代表汉高（</w:t>
      </w:r>
      <w:r w:rsidRPr="00B800E0">
        <w:rPr>
          <w:rFonts w:ascii="宋体" w:eastAsia="宋体" w:hAnsi="Times New Roman"/>
          <w:color w:val="000000"/>
        </w:rPr>
        <w:t>Henkel）处理商业秘密刑事案件</w:t>
      </w:r>
    </w:p>
    <w:p w14:paraId="13E7EC77" w14:textId="77777777" w:rsidR="00B800E0" w:rsidRDefault="00B800E0" w:rsidP="00B800E0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</w:t>
      </w:r>
      <w:r w:rsidRPr="00B800E0">
        <w:rPr>
          <w:rFonts w:ascii="宋体" w:eastAsia="宋体" w:hAnsi="Times New Roman"/>
          <w:color w:val="000000"/>
        </w:rPr>
        <w:t>3M应对潜在商业秘密侵权提供法律意见</w:t>
      </w:r>
    </w:p>
    <w:p w14:paraId="3D436009" w14:textId="77777777" w:rsidR="00B800E0" w:rsidRDefault="00B800E0" w:rsidP="00B800E0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为基因泰克（</w:t>
      </w:r>
      <w:r w:rsidRPr="00B800E0">
        <w:rPr>
          <w:rFonts w:ascii="宋体" w:eastAsia="宋体" w:hAnsi="Times New Roman"/>
          <w:color w:val="000000"/>
        </w:rPr>
        <w:t>Genentech）保护商业秘密提供法律意见</w:t>
      </w:r>
    </w:p>
    <w:p w14:paraId="4C08CA49" w14:textId="77777777" w:rsidR="00B800E0" w:rsidRDefault="00B800E0" w:rsidP="00B800E0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为德州仪器（</w:t>
      </w:r>
      <w:r w:rsidRPr="00B800E0">
        <w:rPr>
          <w:rFonts w:ascii="宋体" w:eastAsia="宋体" w:hAnsi="Times New Roman"/>
          <w:color w:val="000000"/>
        </w:rPr>
        <w:t>Texas Instrument）保护商业秘密提供操作指引和法律咨询</w:t>
      </w:r>
    </w:p>
    <w:p w14:paraId="309403C6" w14:textId="77777777" w:rsidR="00B800E0" w:rsidRDefault="00B800E0" w:rsidP="00B800E0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代表天演（</w:t>
      </w:r>
      <w:r w:rsidRPr="00B800E0">
        <w:rPr>
          <w:rFonts w:ascii="宋体" w:eastAsia="宋体" w:hAnsi="Times New Roman"/>
          <w:color w:val="000000"/>
        </w:rPr>
        <w:t>Adagene）成功应对前员工侵害商业秘密事宜</w:t>
      </w:r>
    </w:p>
    <w:p w14:paraId="177229AE" w14:textId="77777777" w:rsidR="00B800E0" w:rsidRDefault="00B800E0" w:rsidP="00B800E0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代表维伟思成功应对卓尔（</w:t>
      </w:r>
      <w:r w:rsidRPr="00B800E0">
        <w:rPr>
          <w:rFonts w:ascii="宋体" w:eastAsia="宋体" w:hAnsi="Times New Roman"/>
          <w:color w:val="000000"/>
        </w:rPr>
        <w:t>Zoll）的商业秘密诉讼，对方撤诉</w:t>
      </w:r>
    </w:p>
    <w:p w14:paraId="11DD416D" w14:textId="77777777" w:rsidR="00B800E0" w:rsidRDefault="00B800E0" w:rsidP="00B800E0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为华歌尔（</w:t>
      </w:r>
      <w:r w:rsidRPr="00B800E0">
        <w:rPr>
          <w:rFonts w:ascii="宋体" w:eastAsia="宋体" w:hAnsi="Times New Roman"/>
          <w:color w:val="000000"/>
        </w:rPr>
        <w:t>Wacoal）就反垄断事宜提供咨询</w:t>
      </w:r>
    </w:p>
    <w:p w14:paraId="5EBA5455" w14:textId="77777777" w:rsidR="00B800E0" w:rsidRDefault="00B800E0" w:rsidP="00B800E0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为深创投就商业秘密保护制度建构提供咨询</w:t>
      </w:r>
    </w:p>
    <w:p w14:paraId="1FD50DE4" w14:textId="77777777" w:rsidR="00B800E0" w:rsidRDefault="00B800E0" w:rsidP="00B800E0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代表瑞翁（</w:t>
      </w:r>
      <w:r w:rsidRPr="00B800E0">
        <w:rPr>
          <w:rFonts w:ascii="宋体" w:eastAsia="宋体" w:hAnsi="Times New Roman"/>
          <w:color w:val="000000"/>
        </w:rPr>
        <w:t>Zeon）成功进行商业秘密诉讼，获得胜诉</w:t>
      </w:r>
    </w:p>
    <w:p w14:paraId="7D74600D" w14:textId="77777777" w:rsidR="00B800E0" w:rsidRDefault="00B800E0" w:rsidP="00B800E0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</w:t>
      </w:r>
      <w:r w:rsidRPr="00B800E0">
        <w:rPr>
          <w:rFonts w:ascii="宋体" w:eastAsia="宋体" w:hAnsi="Times New Roman"/>
          <w:color w:val="000000"/>
        </w:rPr>
        <w:t>B站与爱奇艺成功进行不正当竞争诉讼，获得胜诉</w:t>
      </w:r>
    </w:p>
    <w:p w14:paraId="2588A857" w14:textId="77777777" w:rsidR="00B800E0" w:rsidRDefault="00B800E0" w:rsidP="00B800E0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为雅培（</w:t>
      </w:r>
      <w:r w:rsidRPr="00B800E0">
        <w:rPr>
          <w:rFonts w:ascii="宋体" w:eastAsia="宋体" w:hAnsi="Times New Roman"/>
          <w:color w:val="000000"/>
        </w:rPr>
        <w:t>Abbott）应对反不正当竞争诉讼提供咨询</w:t>
      </w:r>
    </w:p>
    <w:p w14:paraId="013FD35E" w14:textId="77777777" w:rsidR="00B800E0" w:rsidRDefault="00B800E0" w:rsidP="00B800E0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为支付宝就潜在商业诋毁提供策略咨询</w:t>
      </w:r>
    </w:p>
    <w:p w14:paraId="0E03131E" w14:textId="77777777" w:rsidR="00B800E0" w:rsidRDefault="00B800E0" w:rsidP="00B800E0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代表霍尼韦尔（</w:t>
      </w:r>
      <w:r w:rsidRPr="00B800E0">
        <w:rPr>
          <w:rFonts w:ascii="宋体" w:eastAsia="宋体" w:hAnsi="Times New Roman"/>
          <w:color w:val="000000"/>
        </w:rPr>
        <w:t>Honeywell）在最高人民法院应对垄断协议诉讼</w:t>
      </w:r>
    </w:p>
    <w:p w14:paraId="0A9E3A61" w14:textId="77777777" w:rsidR="00B800E0" w:rsidRDefault="00B800E0" w:rsidP="00B800E0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代表空气化工（</w:t>
      </w:r>
      <w:r w:rsidRPr="00B800E0">
        <w:rPr>
          <w:rFonts w:ascii="宋体" w:eastAsia="宋体" w:hAnsi="Times New Roman"/>
          <w:color w:val="000000"/>
        </w:rPr>
        <w:t>Air Product）在最高人民法院应对垄断协议诉讼</w:t>
      </w:r>
    </w:p>
    <w:p w14:paraId="5E896795" w14:textId="77777777" w:rsidR="00B800E0" w:rsidRDefault="00B800E0" w:rsidP="00B800E0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代表亚马逊（</w:t>
      </w:r>
      <w:r w:rsidRPr="00B800E0">
        <w:rPr>
          <w:rFonts w:ascii="宋体" w:eastAsia="宋体" w:hAnsi="Times New Roman"/>
          <w:color w:val="000000"/>
        </w:rPr>
        <w:t>Amazon）成功应对滥用市场支配地位系列诉讼</w:t>
      </w:r>
    </w:p>
    <w:p w14:paraId="555441D3" w14:textId="77777777" w:rsidR="00B800E0" w:rsidRDefault="00B800E0" w:rsidP="00B800E0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代表环球音乐（</w:t>
      </w:r>
      <w:r w:rsidRPr="00B800E0">
        <w:rPr>
          <w:rFonts w:ascii="宋体" w:eastAsia="宋体" w:hAnsi="Times New Roman"/>
          <w:color w:val="000000"/>
        </w:rPr>
        <w:t>UMG）成功应对滥用市场支配地位诉讼，对方撤诉</w:t>
      </w:r>
    </w:p>
    <w:p w14:paraId="407F4744" w14:textId="77777777" w:rsidR="00B800E0" w:rsidRDefault="00B800E0" w:rsidP="00B800E0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代表字节跳动与腾讯进行反垄断诉讼，成功达成和解</w:t>
      </w:r>
    </w:p>
    <w:p w14:paraId="33606CD1" w14:textId="77777777" w:rsidR="00B800E0" w:rsidRDefault="00B800E0" w:rsidP="00B800E0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代表百威（</w:t>
      </w:r>
      <w:r w:rsidRPr="00B800E0">
        <w:rPr>
          <w:rFonts w:ascii="宋体" w:eastAsia="宋体" w:hAnsi="Times New Roman"/>
          <w:color w:val="000000"/>
        </w:rPr>
        <w:t>Budweiser）成功应对反垄断诉讼，对方撤诉</w:t>
      </w:r>
    </w:p>
    <w:p w14:paraId="2AFEB654" w14:textId="77777777" w:rsidR="00B800E0" w:rsidRDefault="00B800E0" w:rsidP="00B800E0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代表维世佳（</w:t>
      </w:r>
      <w:r w:rsidRPr="00B800E0">
        <w:rPr>
          <w:rFonts w:ascii="宋体" w:eastAsia="宋体" w:hAnsi="Times New Roman"/>
          <w:color w:val="000000"/>
        </w:rPr>
        <w:t>Viscas）成功应对反垄断诉讼，对方撤诉</w:t>
      </w:r>
    </w:p>
    <w:p w14:paraId="0A04C2B7" w14:textId="77777777" w:rsidR="00B800E0" w:rsidRDefault="00B800E0" w:rsidP="00B800E0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代表蚂蚁集团、支付宝应对反垄断诉讼，获得胜诉</w:t>
      </w:r>
    </w:p>
    <w:p w14:paraId="12A8E7B6" w14:textId="77777777" w:rsidR="00B800E0" w:rsidRDefault="00B800E0" w:rsidP="00B800E0">
      <w:pPr>
        <w:pStyle w:val="af5"/>
        <w:spacing w:before="12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代表性商法业务</w:t>
      </w:r>
    </w:p>
    <w:p w14:paraId="0E308BEA" w14:textId="77777777" w:rsidR="00B800E0" w:rsidRDefault="00B800E0" w:rsidP="00B800E0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代表某国有银行（世界</w:t>
      </w:r>
      <w:r w:rsidRPr="00B800E0">
        <w:rPr>
          <w:rFonts w:ascii="宋体" w:eastAsia="宋体" w:hAnsi="Times New Roman"/>
          <w:color w:val="000000"/>
        </w:rPr>
        <w:t>500强）成功应对标的额为近30亿的营业信托诉讼，获得胜诉</w:t>
      </w:r>
    </w:p>
    <w:p w14:paraId="57FA5902" w14:textId="77777777" w:rsidR="00B800E0" w:rsidRDefault="00B800E0" w:rsidP="00B800E0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代表以星（</w:t>
      </w:r>
      <w:r w:rsidRPr="00B800E0">
        <w:rPr>
          <w:rFonts w:ascii="宋体" w:eastAsia="宋体" w:hAnsi="Times New Roman"/>
          <w:color w:val="000000"/>
        </w:rPr>
        <w:t>ZIM）进行货运代理服务合同诉讼，获得胜诉</w:t>
      </w:r>
    </w:p>
    <w:p w14:paraId="5312774E" w14:textId="77777777" w:rsidR="00B800E0" w:rsidRDefault="00B800E0" w:rsidP="00B800E0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代表阳光保险应对财产责任保险理赔诉讼，获得胜诉</w:t>
      </w:r>
    </w:p>
    <w:p w14:paraId="1D706657" w14:textId="77777777" w:rsidR="00B800E0" w:rsidRDefault="00B800E0" w:rsidP="00B800E0">
      <w:pPr>
        <w:pStyle w:val="af5"/>
        <w:numPr>
          <w:ilvl w:val="0"/>
          <w:numId w:val="5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代表天纳克（</w:t>
      </w:r>
      <w:r w:rsidRPr="00B800E0">
        <w:rPr>
          <w:rFonts w:ascii="宋体" w:eastAsia="宋体" w:hAnsi="Times New Roman"/>
          <w:color w:val="000000"/>
        </w:rPr>
        <w:t>Tenneco）成功应对买卖合同、开发合同诉讼，获得胜诉</w:t>
      </w:r>
    </w:p>
    <w:p w14:paraId="0443E2F9" w14:textId="77777777" w:rsidR="00B800E0" w:rsidRDefault="00B800E0" w:rsidP="00B800E0">
      <w:pPr>
        <w:pStyle w:val="af5"/>
        <w:numPr>
          <w:ilvl w:val="0"/>
          <w:numId w:val="5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代表黑石在上国仲成功进行有限合伙合同纠纷的仲裁</w:t>
      </w:r>
    </w:p>
    <w:p w14:paraId="001C494F" w14:textId="77777777" w:rsidR="00B800E0" w:rsidRDefault="00B800E0" w:rsidP="00B800E0">
      <w:pPr>
        <w:pStyle w:val="af5"/>
        <w:numPr>
          <w:ilvl w:val="0"/>
          <w:numId w:val="5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代表安道拓（</w:t>
      </w:r>
      <w:r w:rsidRPr="00B800E0">
        <w:rPr>
          <w:rFonts w:ascii="宋体" w:eastAsia="宋体" w:hAnsi="Times New Roman"/>
          <w:color w:val="000000"/>
        </w:rPr>
        <w:t>Adient）在贸仲成功应对合资合同纠纷</w:t>
      </w:r>
    </w:p>
    <w:p w14:paraId="75065AA9" w14:textId="77777777" w:rsidR="00B800E0" w:rsidRDefault="00B800E0" w:rsidP="00B800E0">
      <w:pPr>
        <w:pStyle w:val="af5"/>
        <w:numPr>
          <w:ilvl w:val="0"/>
          <w:numId w:val="5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代表海恩斯莫里斯（</w:t>
      </w:r>
      <w:r w:rsidRPr="00B800E0">
        <w:rPr>
          <w:rFonts w:ascii="宋体" w:eastAsia="宋体" w:hAnsi="Times New Roman"/>
          <w:color w:val="000000"/>
        </w:rPr>
        <w:t>H&amp;M）在上国仲成功应对房屋租赁合同纠纷</w:t>
      </w:r>
    </w:p>
    <w:p w14:paraId="498C91B3" w14:textId="77777777" w:rsidR="00B800E0" w:rsidRDefault="00B800E0" w:rsidP="00B800E0">
      <w:pPr>
        <w:pStyle w:val="af5"/>
        <w:numPr>
          <w:ilvl w:val="0"/>
          <w:numId w:val="5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代表科医国际（</w:t>
      </w:r>
      <w:r w:rsidRPr="00B800E0">
        <w:rPr>
          <w:rFonts w:ascii="宋体" w:eastAsia="宋体" w:hAnsi="Times New Roman"/>
          <w:color w:val="000000"/>
        </w:rPr>
        <w:t>Q-Med）在上国仲成功应对经销合同纠纷</w:t>
      </w:r>
    </w:p>
    <w:p w14:paraId="271C5B90" w14:textId="77777777" w:rsidR="00B800E0" w:rsidRDefault="00B800E0" w:rsidP="00B800E0">
      <w:pPr>
        <w:pStyle w:val="af5"/>
        <w:numPr>
          <w:ilvl w:val="0"/>
          <w:numId w:val="5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为东方承销系列证券虚假陈述责任纠纷案提供策略咨询</w:t>
      </w:r>
    </w:p>
    <w:p w14:paraId="0864E4E9" w14:textId="77777777" w:rsidR="00B800E0" w:rsidRDefault="00B800E0" w:rsidP="00B800E0">
      <w:pPr>
        <w:pStyle w:val="af5"/>
        <w:numPr>
          <w:ilvl w:val="0"/>
          <w:numId w:val="5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为民生银行（香港）保证合同纠纷诉讼提供策略咨询</w:t>
      </w:r>
    </w:p>
    <w:p w14:paraId="4E866865" w14:textId="77777777" w:rsidR="00B800E0" w:rsidRDefault="00B800E0" w:rsidP="00B800E0">
      <w:pPr>
        <w:pStyle w:val="af5"/>
        <w:numPr>
          <w:ilvl w:val="0"/>
          <w:numId w:val="5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为保康公司的贷款合同纠纷在港仲担任中国内地法律专家证人</w:t>
      </w:r>
    </w:p>
    <w:p w14:paraId="24AFC5CB" w14:textId="77777777" w:rsidR="00B800E0" w:rsidRDefault="00B800E0" w:rsidP="00B800E0">
      <w:pPr>
        <w:pStyle w:val="af5"/>
        <w:numPr>
          <w:ilvl w:val="0"/>
          <w:numId w:val="5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为斯沃琪（</w:t>
      </w:r>
      <w:r w:rsidRPr="00B800E0">
        <w:rPr>
          <w:rFonts w:ascii="宋体" w:eastAsia="宋体" w:hAnsi="Times New Roman"/>
          <w:color w:val="000000"/>
        </w:rPr>
        <w:t>Swatch）就潜在股权质押合同纠纷提供咨询</w:t>
      </w:r>
    </w:p>
    <w:p w14:paraId="1D7D37E5" w14:textId="77777777" w:rsidR="00B800E0" w:rsidRDefault="00B800E0" w:rsidP="00B800E0">
      <w:pPr>
        <w:pStyle w:val="af5"/>
        <w:numPr>
          <w:ilvl w:val="0"/>
          <w:numId w:val="6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为英国卫生和社会保障部就潜在销售合同纠纷进行咨询</w:t>
      </w:r>
    </w:p>
    <w:p w14:paraId="0C289A37" w14:textId="77777777" w:rsidR="00B800E0" w:rsidRDefault="00B800E0" w:rsidP="00B800E0">
      <w:pPr>
        <w:pStyle w:val="af5"/>
        <w:numPr>
          <w:ilvl w:val="0"/>
          <w:numId w:val="6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为汉莎航空（</w:t>
      </w:r>
      <w:r w:rsidRPr="00B800E0">
        <w:rPr>
          <w:rFonts w:ascii="宋体" w:eastAsia="宋体" w:hAnsi="Times New Roman"/>
          <w:color w:val="000000"/>
        </w:rPr>
        <w:t>Luft Hansa）就合资合同潜在纠纷提供咨询</w:t>
      </w:r>
    </w:p>
    <w:p w14:paraId="70C52D4C" w14:textId="77777777" w:rsidR="00B800E0" w:rsidRDefault="00B800E0" w:rsidP="00B800E0">
      <w:pPr>
        <w:pStyle w:val="af5"/>
        <w:numPr>
          <w:ilvl w:val="0"/>
          <w:numId w:val="6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</w:t>
      </w:r>
      <w:r w:rsidRPr="00B800E0">
        <w:rPr>
          <w:rFonts w:ascii="宋体" w:eastAsia="宋体" w:hAnsi="Times New Roman"/>
          <w:color w:val="000000"/>
        </w:rPr>
        <w:t>Transgene应对技术出资合同潜在仲裁案进行咨询</w:t>
      </w:r>
    </w:p>
    <w:p w14:paraId="36957036" w14:textId="77777777" w:rsidR="00B800E0" w:rsidRDefault="00B800E0" w:rsidP="00B800E0">
      <w:pPr>
        <w:pStyle w:val="af5"/>
        <w:numPr>
          <w:ilvl w:val="0"/>
          <w:numId w:val="6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</w:t>
      </w:r>
      <w:r w:rsidRPr="00B800E0">
        <w:rPr>
          <w:rFonts w:ascii="宋体" w:eastAsia="宋体" w:hAnsi="Times New Roman"/>
          <w:color w:val="000000"/>
        </w:rPr>
        <w:t>Citadel就许可协议提供法律咨询</w:t>
      </w:r>
    </w:p>
    <w:p w14:paraId="748960D7" w14:textId="77777777" w:rsidR="00B800E0" w:rsidRDefault="00B800E0" w:rsidP="00B800E0">
      <w:pPr>
        <w:pStyle w:val="af5"/>
        <w:numPr>
          <w:ilvl w:val="0"/>
          <w:numId w:val="6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为科蒂集团（</w:t>
      </w:r>
      <w:r w:rsidRPr="00B800E0">
        <w:rPr>
          <w:rFonts w:ascii="宋体" w:eastAsia="宋体" w:hAnsi="Times New Roman"/>
          <w:color w:val="000000"/>
        </w:rPr>
        <w:t>Coty）经销合同纠纷提供策略咨询</w:t>
      </w:r>
    </w:p>
    <w:p w14:paraId="678D7A94" w14:textId="77777777" w:rsidR="00B800E0" w:rsidRDefault="00B800E0" w:rsidP="00B800E0">
      <w:pPr>
        <w:pStyle w:val="af5"/>
        <w:numPr>
          <w:ilvl w:val="0"/>
          <w:numId w:val="6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代表东方精工在贸仲成功进行标的额为</w:t>
      </w:r>
      <w:r w:rsidRPr="00B800E0">
        <w:rPr>
          <w:rFonts w:ascii="宋体" w:eastAsia="宋体" w:hAnsi="Times New Roman"/>
          <w:color w:val="000000"/>
        </w:rPr>
        <w:t>26亿的股权转让协议纠纷</w:t>
      </w:r>
    </w:p>
    <w:p w14:paraId="10033713" w14:textId="77777777" w:rsidR="00B800E0" w:rsidRDefault="00B800E0" w:rsidP="00B800E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00E0">
        <w:rPr>
          <w:rFonts w:ascii="宋体" w:eastAsia="宋体" w:hAnsi="宋体" w:hint="eastAsia"/>
          <w:b/>
          <w:sz w:val="24"/>
        </w:rPr>
        <w:t>教育背景</w:t>
      </w:r>
    </w:p>
    <w:p w14:paraId="04FA1494" w14:textId="77777777" w:rsidR="00B800E0" w:rsidRDefault="00B800E0" w:rsidP="00B800E0">
      <w:pPr>
        <w:pStyle w:val="af5"/>
        <w:numPr>
          <w:ilvl w:val="0"/>
          <w:numId w:val="6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复旦大学，法学博士</w:t>
      </w:r>
    </w:p>
    <w:p w14:paraId="33B4D2DB" w14:textId="77777777" w:rsidR="00B800E0" w:rsidRDefault="00B800E0" w:rsidP="00B800E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00E0">
        <w:rPr>
          <w:rFonts w:ascii="宋体" w:eastAsia="宋体" w:hAnsi="宋体" w:hint="eastAsia"/>
          <w:b/>
          <w:sz w:val="24"/>
        </w:rPr>
        <w:t>执业资格</w:t>
      </w:r>
    </w:p>
    <w:p w14:paraId="5679CAD1" w14:textId="77777777" w:rsidR="00B800E0" w:rsidRDefault="00B800E0" w:rsidP="00B800E0">
      <w:pPr>
        <w:pStyle w:val="af5"/>
        <w:numPr>
          <w:ilvl w:val="0"/>
          <w:numId w:val="6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中华人民共和国执业律师</w:t>
      </w:r>
    </w:p>
    <w:p w14:paraId="3C3C48BA" w14:textId="77777777" w:rsidR="00B800E0" w:rsidRDefault="00B800E0" w:rsidP="00B800E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00E0">
        <w:rPr>
          <w:rFonts w:ascii="宋体" w:eastAsia="宋体" w:hAnsi="宋体" w:hint="eastAsia"/>
          <w:b/>
          <w:sz w:val="24"/>
        </w:rPr>
        <w:t>职业背景</w:t>
      </w:r>
    </w:p>
    <w:p w14:paraId="79932904" w14:textId="77777777" w:rsidR="00B800E0" w:rsidRDefault="00B800E0" w:rsidP="00B800E0">
      <w:pPr>
        <w:pStyle w:val="af5"/>
        <w:numPr>
          <w:ilvl w:val="0"/>
          <w:numId w:val="6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胡震远博士作为合伙人加入方达律师事务所。他处理过一系列有影响的案例，他的案件曾经入选最高人民法院指导案例、最高人民法院公报案例、最高人民法院年度十大知识产权案例、最高人民法院年度知识产权</w:t>
      </w:r>
      <w:r w:rsidRPr="00B800E0">
        <w:rPr>
          <w:rFonts w:ascii="宋体" w:eastAsia="宋体" w:hAnsi="Times New Roman"/>
          <w:color w:val="000000"/>
        </w:rPr>
        <w:t>50个典型案例等。</w:t>
      </w:r>
    </w:p>
    <w:p w14:paraId="0BA99E80" w14:textId="77777777" w:rsidR="00B800E0" w:rsidRDefault="00B800E0" w:rsidP="00B800E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00E0">
        <w:rPr>
          <w:rFonts w:ascii="宋体" w:eastAsia="宋体" w:hAnsi="宋体" w:hint="eastAsia"/>
          <w:b/>
          <w:sz w:val="24"/>
        </w:rPr>
        <w:t>其他信息</w:t>
      </w:r>
    </w:p>
    <w:p w14:paraId="01785C5B" w14:textId="77777777" w:rsidR="00B800E0" w:rsidRDefault="00B800E0" w:rsidP="00B800E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00E0">
        <w:rPr>
          <w:rFonts w:ascii="宋体" w:eastAsia="宋体" w:hAnsi="宋体" w:hint="eastAsia"/>
          <w:b/>
          <w:sz w:val="24"/>
        </w:rPr>
        <w:t>出版物</w:t>
      </w:r>
    </w:p>
    <w:p w14:paraId="744F50E7" w14:textId="77777777" w:rsidR="00B800E0" w:rsidRDefault="00B800E0" w:rsidP="00B800E0">
      <w:pPr>
        <w:pStyle w:val="af5"/>
        <w:numPr>
          <w:ilvl w:val="0"/>
          <w:numId w:val="6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/>
          <w:color w:val="000000"/>
        </w:rPr>
        <w:t xml:space="preserve">《共同诉讼制度研究》，上海交通大学出版社，2010年 </w:t>
      </w:r>
    </w:p>
    <w:p w14:paraId="56848AC1" w14:textId="77777777" w:rsidR="00B800E0" w:rsidRDefault="00B800E0" w:rsidP="00B800E0">
      <w:pPr>
        <w:pStyle w:val="af5"/>
        <w:numPr>
          <w:ilvl w:val="0"/>
          <w:numId w:val="7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/>
          <w:color w:val="000000"/>
        </w:rPr>
        <w:t xml:space="preserve">《知识产权资本化研究》，中国法制出版社，2012年 </w:t>
      </w:r>
    </w:p>
    <w:p w14:paraId="3691B4F9" w14:textId="77777777" w:rsidR="00B800E0" w:rsidRDefault="00B800E0" w:rsidP="00B800E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800E0">
        <w:rPr>
          <w:rFonts w:ascii="宋体" w:eastAsia="宋体" w:hAnsi="宋体" w:hint="eastAsia"/>
          <w:b/>
          <w:sz w:val="24"/>
        </w:rPr>
        <w:t>其他履职</w:t>
      </w:r>
    </w:p>
    <w:p w14:paraId="4F0A196B" w14:textId="0ED890FF" w:rsidR="00A46A04" w:rsidRPr="00B800E0" w:rsidRDefault="00B800E0" w:rsidP="00B800E0">
      <w:pPr>
        <w:pStyle w:val="af5"/>
        <w:numPr>
          <w:ilvl w:val="0"/>
          <w:numId w:val="7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800E0">
        <w:rPr>
          <w:rFonts w:ascii="宋体" w:eastAsia="宋体" w:hAnsi="Times New Roman" w:hint="eastAsia"/>
          <w:color w:val="000000"/>
        </w:rPr>
        <w:t>胡律师还兼任上海仲裁委员会仲裁员，世界知识产权组织、上海经贸商事调解中心调解员。</w:t>
      </w:r>
    </w:p>
    <w:sectPr w:rsidR="00A46A04" w:rsidRPr="00B800E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3F64"/>
    <w:multiLevelType w:val="singleLevel"/>
    <w:tmpl w:val="8BF01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762BE5"/>
    <w:multiLevelType w:val="singleLevel"/>
    <w:tmpl w:val="4A7C0F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1503D5"/>
    <w:multiLevelType w:val="singleLevel"/>
    <w:tmpl w:val="490C9D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2FC3A6E"/>
    <w:multiLevelType w:val="singleLevel"/>
    <w:tmpl w:val="1FD80F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7351BAD"/>
    <w:multiLevelType w:val="singleLevel"/>
    <w:tmpl w:val="F702C0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8D62BF8"/>
    <w:multiLevelType w:val="singleLevel"/>
    <w:tmpl w:val="F30EE6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9A52F5E"/>
    <w:multiLevelType w:val="singleLevel"/>
    <w:tmpl w:val="986CF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C9721A5"/>
    <w:multiLevelType w:val="singleLevel"/>
    <w:tmpl w:val="C52A84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F1951E0"/>
    <w:multiLevelType w:val="singleLevel"/>
    <w:tmpl w:val="77B49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FA26D4A"/>
    <w:multiLevelType w:val="singleLevel"/>
    <w:tmpl w:val="4BC8C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2C70909"/>
    <w:multiLevelType w:val="singleLevel"/>
    <w:tmpl w:val="2864F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3C1125C"/>
    <w:multiLevelType w:val="singleLevel"/>
    <w:tmpl w:val="2766B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3C35CC6"/>
    <w:multiLevelType w:val="singleLevel"/>
    <w:tmpl w:val="63A8A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6101770"/>
    <w:multiLevelType w:val="singleLevel"/>
    <w:tmpl w:val="7A8E24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68765DF"/>
    <w:multiLevelType w:val="singleLevel"/>
    <w:tmpl w:val="952EAE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7735454"/>
    <w:multiLevelType w:val="singleLevel"/>
    <w:tmpl w:val="5FF223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1BDE50E4"/>
    <w:multiLevelType w:val="singleLevel"/>
    <w:tmpl w:val="A4FCC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1CCF5A01"/>
    <w:multiLevelType w:val="singleLevel"/>
    <w:tmpl w:val="2834D4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1EF25E7E"/>
    <w:multiLevelType w:val="singleLevel"/>
    <w:tmpl w:val="4A7C0F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24B42CC"/>
    <w:multiLevelType w:val="singleLevel"/>
    <w:tmpl w:val="A0E62B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31931E8"/>
    <w:multiLevelType w:val="singleLevel"/>
    <w:tmpl w:val="4AFCF7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4B15D7A"/>
    <w:multiLevelType w:val="singleLevel"/>
    <w:tmpl w:val="73DC5F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5C40498"/>
    <w:multiLevelType w:val="singleLevel"/>
    <w:tmpl w:val="F6163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9874F3F"/>
    <w:multiLevelType w:val="singleLevel"/>
    <w:tmpl w:val="9FAE8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2AD85FA3"/>
    <w:multiLevelType w:val="singleLevel"/>
    <w:tmpl w:val="6102F6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2FEE7195"/>
    <w:multiLevelType w:val="singleLevel"/>
    <w:tmpl w:val="2DA21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0F84EB9"/>
    <w:multiLevelType w:val="singleLevel"/>
    <w:tmpl w:val="48BA5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44E5B99"/>
    <w:multiLevelType w:val="singleLevel"/>
    <w:tmpl w:val="04A6C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6C14685"/>
    <w:multiLevelType w:val="singleLevel"/>
    <w:tmpl w:val="495E1E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8C06845"/>
    <w:multiLevelType w:val="singleLevel"/>
    <w:tmpl w:val="3B767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3AB1461B"/>
    <w:multiLevelType w:val="singleLevel"/>
    <w:tmpl w:val="173CB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3B7E237E"/>
    <w:multiLevelType w:val="singleLevel"/>
    <w:tmpl w:val="E1D8C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3C526758"/>
    <w:multiLevelType w:val="singleLevel"/>
    <w:tmpl w:val="4AC863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3ED94076"/>
    <w:multiLevelType w:val="singleLevel"/>
    <w:tmpl w:val="7A56A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186023C"/>
    <w:multiLevelType w:val="singleLevel"/>
    <w:tmpl w:val="E64C95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46A73DA5"/>
    <w:multiLevelType w:val="singleLevel"/>
    <w:tmpl w:val="A08228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498C3206"/>
    <w:multiLevelType w:val="singleLevel"/>
    <w:tmpl w:val="D7FC5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4B832FE4"/>
    <w:multiLevelType w:val="singleLevel"/>
    <w:tmpl w:val="8EC6B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4C150C36"/>
    <w:multiLevelType w:val="singleLevel"/>
    <w:tmpl w:val="504264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4EF974BE"/>
    <w:multiLevelType w:val="singleLevel"/>
    <w:tmpl w:val="70E0E0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0017E92"/>
    <w:multiLevelType w:val="singleLevel"/>
    <w:tmpl w:val="0D3887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424241A"/>
    <w:multiLevelType w:val="singleLevel"/>
    <w:tmpl w:val="18D4C9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544641AB"/>
    <w:multiLevelType w:val="singleLevel"/>
    <w:tmpl w:val="F13C0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55567B74"/>
    <w:multiLevelType w:val="singleLevel"/>
    <w:tmpl w:val="B4800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576162B9"/>
    <w:multiLevelType w:val="singleLevel"/>
    <w:tmpl w:val="9932B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59636B59"/>
    <w:multiLevelType w:val="singleLevel"/>
    <w:tmpl w:val="8D4AB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5BCD02BA"/>
    <w:multiLevelType w:val="singleLevel"/>
    <w:tmpl w:val="2BB658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5BD42B7E"/>
    <w:multiLevelType w:val="singleLevel"/>
    <w:tmpl w:val="48729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5C892F3F"/>
    <w:multiLevelType w:val="singleLevel"/>
    <w:tmpl w:val="EFDEBE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5D026E30"/>
    <w:multiLevelType w:val="singleLevel"/>
    <w:tmpl w:val="3B3A9F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5D41635D"/>
    <w:multiLevelType w:val="singleLevel"/>
    <w:tmpl w:val="C1D6CF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5EC33297"/>
    <w:multiLevelType w:val="singleLevel"/>
    <w:tmpl w:val="C88C5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5F894EB9"/>
    <w:multiLevelType w:val="singleLevel"/>
    <w:tmpl w:val="D6B21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603922B3"/>
    <w:multiLevelType w:val="singleLevel"/>
    <w:tmpl w:val="2C7607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605E49AB"/>
    <w:multiLevelType w:val="singleLevel"/>
    <w:tmpl w:val="EEB06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64845C58"/>
    <w:multiLevelType w:val="singleLevel"/>
    <w:tmpl w:val="298C2A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6" w15:restartNumberingAfterBreak="0">
    <w:nsid w:val="65844593"/>
    <w:multiLevelType w:val="singleLevel"/>
    <w:tmpl w:val="46FA51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7" w15:restartNumberingAfterBreak="0">
    <w:nsid w:val="667D1C1B"/>
    <w:multiLevelType w:val="singleLevel"/>
    <w:tmpl w:val="ECB80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8" w15:restartNumberingAfterBreak="0">
    <w:nsid w:val="67574ED4"/>
    <w:multiLevelType w:val="singleLevel"/>
    <w:tmpl w:val="456A6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9" w15:restartNumberingAfterBreak="0">
    <w:nsid w:val="67EE75DD"/>
    <w:multiLevelType w:val="singleLevel"/>
    <w:tmpl w:val="7FBA8C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0" w15:restartNumberingAfterBreak="0">
    <w:nsid w:val="684F73C0"/>
    <w:multiLevelType w:val="singleLevel"/>
    <w:tmpl w:val="F9F4CC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1" w15:restartNumberingAfterBreak="0">
    <w:nsid w:val="6FA138C0"/>
    <w:multiLevelType w:val="singleLevel"/>
    <w:tmpl w:val="F8D46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2" w15:restartNumberingAfterBreak="0">
    <w:nsid w:val="72381B8D"/>
    <w:multiLevelType w:val="singleLevel"/>
    <w:tmpl w:val="525E62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3" w15:restartNumberingAfterBreak="0">
    <w:nsid w:val="72FF735D"/>
    <w:multiLevelType w:val="singleLevel"/>
    <w:tmpl w:val="E9B0B4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4" w15:restartNumberingAfterBreak="0">
    <w:nsid w:val="740815A2"/>
    <w:multiLevelType w:val="singleLevel"/>
    <w:tmpl w:val="7E4C9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5" w15:restartNumberingAfterBreak="0">
    <w:nsid w:val="76F265D5"/>
    <w:multiLevelType w:val="singleLevel"/>
    <w:tmpl w:val="89A4EE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6" w15:restartNumberingAfterBreak="0">
    <w:nsid w:val="77485188"/>
    <w:multiLevelType w:val="singleLevel"/>
    <w:tmpl w:val="F23473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7" w15:restartNumberingAfterBreak="0">
    <w:nsid w:val="79EB04C2"/>
    <w:multiLevelType w:val="singleLevel"/>
    <w:tmpl w:val="AF2467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8" w15:restartNumberingAfterBreak="0">
    <w:nsid w:val="7B885BD0"/>
    <w:multiLevelType w:val="singleLevel"/>
    <w:tmpl w:val="5D40E2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9" w15:restartNumberingAfterBreak="0">
    <w:nsid w:val="7DFE54D8"/>
    <w:multiLevelType w:val="singleLevel"/>
    <w:tmpl w:val="689E0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0" w15:restartNumberingAfterBreak="0">
    <w:nsid w:val="7F9A7DD8"/>
    <w:multiLevelType w:val="singleLevel"/>
    <w:tmpl w:val="2F067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1"/>
  </w:num>
  <w:num w:numId="2">
    <w:abstractNumId w:val="11"/>
  </w:num>
  <w:num w:numId="3">
    <w:abstractNumId w:val="3"/>
  </w:num>
  <w:num w:numId="4">
    <w:abstractNumId w:val="44"/>
  </w:num>
  <w:num w:numId="5">
    <w:abstractNumId w:val="24"/>
  </w:num>
  <w:num w:numId="6">
    <w:abstractNumId w:val="59"/>
  </w:num>
  <w:num w:numId="7">
    <w:abstractNumId w:val="32"/>
  </w:num>
  <w:num w:numId="8">
    <w:abstractNumId w:val="20"/>
  </w:num>
  <w:num w:numId="9">
    <w:abstractNumId w:val="63"/>
  </w:num>
  <w:num w:numId="10">
    <w:abstractNumId w:val="30"/>
  </w:num>
  <w:num w:numId="11">
    <w:abstractNumId w:val="56"/>
  </w:num>
  <w:num w:numId="12">
    <w:abstractNumId w:val="57"/>
  </w:num>
  <w:num w:numId="13">
    <w:abstractNumId w:val="62"/>
  </w:num>
  <w:num w:numId="14">
    <w:abstractNumId w:val="13"/>
  </w:num>
  <w:num w:numId="15">
    <w:abstractNumId w:val="31"/>
  </w:num>
  <w:num w:numId="16">
    <w:abstractNumId w:val="26"/>
  </w:num>
  <w:num w:numId="17">
    <w:abstractNumId w:val="4"/>
  </w:num>
  <w:num w:numId="18">
    <w:abstractNumId w:val="5"/>
  </w:num>
  <w:num w:numId="19">
    <w:abstractNumId w:val="50"/>
  </w:num>
  <w:num w:numId="20">
    <w:abstractNumId w:val="53"/>
  </w:num>
  <w:num w:numId="21">
    <w:abstractNumId w:val="36"/>
  </w:num>
  <w:num w:numId="22">
    <w:abstractNumId w:val="49"/>
  </w:num>
  <w:num w:numId="23">
    <w:abstractNumId w:val="52"/>
  </w:num>
  <w:num w:numId="24">
    <w:abstractNumId w:val="61"/>
  </w:num>
  <w:num w:numId="25">
    <w:abstractNumId w:val="9"/>
  </w:num>
  <w:num w:numId="26">
    <w:abstractNumId w:val="51"/>
  </w:num>
  <w:num w:numId="27">
    <w:abstractNumId w:val="70"/>
  </w:num>
  <w:num w:numId="28">
    <w:abstractNumId w:val="42"/>
  </w:num>
  <w:num w:numId="29">
    <w:abstractNumId w:val="37"/>
  </w:num>
  <w:num w:numId="30">
    <w:abstractNumId w:val="68"/>
  </w:num>
  <w:num w:numId="31">
    <w:abstractNumId w:val="39"/>
  </w:num>
  <w:num w:numId="32">
    <w:abstractNumId w:val="19"/>
  </w:num>
  <w:num w:numId="33">
    <w:abstractNumId w:val="2"/>
  </w:num>
  <w:num w:numId="34">
    <w:abstractNumId w:val="47"/>
  </w:num>
  <w:num w:numId="35">
    <w:abstractNumId w:val="64"/>
  </w:num>
  <w:num w:numId="36">
    <w:abstractNumId w:val="28"/>
  </w:num>
  <w:num w:numId="37">
    <w:abstractNumId w:val="65"/>
  </w:num>
  <w:num w:numId="38">
    <w:abstractNumId w:val="60"/>
  </w:num>
  <w:num w:numId="39">
    <w:abstractNumId w:val="14"/>
  </w:num>
  <w:num w:numId="40">
    <w:abstractNumId w:val="27"/>
  </w:num>
  <w:num w:numId="41">
    <w:abstractNumId w:val="38"/>
  </w:num>
  <w:num w:numId="42">
    <w:abstractNumId w:val="67"/>
  </w:num>
  <w:num w:numId="43">
    <w:abstractNumId w:val="45"/>
  </w:num>
  <w:num w:numId="44">
    <w:abstractNumId w:val="69"/>
  </w:num>
  <w:num w:numId="45">
    <w:abstractNumId w:val="66"/>
  </w:num>
  <w:num w:numId="46">
    <w:abstractNumId w:val="35"/>
  </w:num>
  <w:num w:numId="47">
    <w:abstractNumId w:val="10"/>
  </w:num>
  <w:num w:numId="48">
    <w:abstractNumId w:val="46"/>
  </w:num>
  <w:num w:numId="49">
    <w:abstractNumId w:val="12"/>
  </w:num>
  <w:num w:numId="50">
    <w:abstractNumId w:val="8"/>
  </w:num>
  <w:num w:numId="51">
    <w:abstractNumId w:val="54"/>
  </w:num>
  <w:num w:numId="52">
    <w:abstractNumId w:val="6"/>
  </w:num>
  <w:num w:numId="53">
    <w:abstractNumId w:val="43"/>
  </w:num>
  <w:num w:numId="54">
    <w:abstractNumId w:val="22"/>
  </w:num>
  <w:num w:numId="55">
    <w:abstractNumId w:val="55"/>
  </w:num>
  <w:num w:numId="56">
    <w:abstractNumId w:val="25"/>
  </w:num>
  <w:num w:numId="57">
    <w:abstractNumId w:val="33"/>
  </w:num>
  <w:num w:numId="58">
    <w:abstractNumId w:val="29"/>
  </w:num>
  <w:num w:numId="59">
    <w:abstractNumId w:val="34"/>
  </w:num>
  <w:num w:numId="60">
    <w:abstractNumId w:val="58"/>
  </w:num>
  <w:num w:numId="61">
    <w:abstractNumId w:val="23"/>
  </w:num>
  <w:num w:numId="62">
    <w:abstractNumId w:val="48"/>
  </w:num>
  <w:num w:numId="63">
    <w:abstractNumId w:val="7"/>
  </w:num>
  <w:num w:numId="64">
    <w:abstractNumId w:val="16"/>
  </w:num>
  <w:num w:numId="65">
    <w:abstractNumId w:val="21"/>
  </w:num>
  <w:num w:numId="66">
    <w:abstractNumId w:val="40"/>
  </w:num>
  <w:num w:numId="67">
    <w:abstractNumId w:val="17"/>
  </w:num>
  <w:num w:numId="68">
    <w:abstractNumId w:val="0"/>
  </w:num>
  <w:num w:numId="69">
    <w:abstractNumId w:val="15"/>
  </w:num>
  <w:num w:numId="70">
    <w:abstractNumId w:val="1"/>
  </w:num>
  <w:num w:numId="71">
    <w:abstractNumId w:val="18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00E0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800E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800E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9352EA-F443-4DB2-AB10-AC1EEBAFD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2026-10-21T04:15:00Z</dcterms:created>
  <dcterms:modified xsi:type="dcterms:W3CDTF">2026-10-21T04:15:00Z</dcterms:modified>
</cp:coreProperties>
</file>