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B8E30A" w:rsidR="0049405C" w:rsidRPr="00187BAA" w:rsidRDefault="003D09FF" w:rsidP="003D09FF">
            <w:pPr>
              <w:spacing w:line="720" w:lineRule="auto"/>
              <w:rPr>
                <w:rFonts w:ascii="宋体" w:eastAsia="宋体" w:hAnsi="宋体"/>
                <w:color w:val="545551"/>
              </w:rPr>
            </w:pPr>
            <w:bookmarkStart w:id="0" w:name="xingming"/>
            <w:bookmarkStart w:id="1" w:name="_GoBack"/>
            <w:bookmarkEnd w:id="1"/>
            <w:r w:rsidRPr="003D09FF">
              <w:rPr>
                <w:rFonts w:ascii="宋体" w:eastAsia="宋体" w:hAnsi="Times New Roman" w:hint="eastAsia"/>
                <w:b/>
                <w:color w:val="000000"/>
                <w:sz w:val="48"/>
              </w:rPr>
              <w:t>罗珂</w:t>
            </w:r>
            <w:bookmarkEnd w:id="0"/>
          </w:p>
          <w:p w14:paraId="706EB16B" w14:textId="606C793A" w:rsidR="0049405C" w:rsidRPr="00187BAA" w:rsidRDefault="003D09FF" w:rsidP="003D09FF">
            <w:pPr>
              <w:spacing w:line="360" w:lineRule="auto"/>
              <w:rPr>
                <w:rFonts w:ascii="宋体" w:eastAsia="宋体" w:hAnsi="宋体"/>
                <w:b/>
                <w:bCs/>
                <w:color w:val="545551"/>
              </w:rPr>
            </w:pPr>
            <w:bookmarkStart w:id="2" w:name="didian"/>
            <w:r w:rsidRPr="003D09FF">
              <w:rPr>
                <w:rFonts w:ascii="宋体" w:eastAsia="宋体" w:hAnsi="Times New Roman" w:hint="eastAsia"/>
                <w:b/>
                <w:bCs/>
                <w:color w:val="000000"/>
              </w:rPr>
              <w:t>合伙人·上海</w:t>
            </w:r>
            <w:r w:rsidRPr="003D09FF">
              <w:rPr>
                <w:rFonts w:ascii="宋体" w:eastAsia="宋体" w:hAnsi="Times New Roman"/>
                <w:b/>
                <w:bCs/>
                <w:color w:val="000000"/>
              </w:rPr>
              <w:t xml:space="preserve"> | 深圳</w:t>
            </w:r>
            <w:bookmarkEnd w:id="2"/>
          </w:p>
          <w:p w14:paraId="6199424A" w14:textId="3C737D23" w:rsidR="0049405C" w:rsidRPr="00187BAA" w:rsidRDefault="003D09FF" w:rsidP="003D09FF">
            <w:pPr>
              <w:spacing w:line="360" w:lineRule="auto"/>
              <w:rPr>
                <w:rFonts w:ascii="宋体" w:eastAsia="宋体" w:hAnsi="宋体"/>
                <w:color w:val="545551"/>
              </w:rPr>
            </w:pPr>
            <w:bookmarkStart w:id="3" w:name="dianhua"/>
            <w:r w:rsidRPr="003D09FF">
              <w:rPr>
                <w:rFonts w:ascii="宋体" w:eastAsia="宋体" w:hAnsi="Times New Roman"/>
                <w:color w:val="000000"/>
              </w:rPr>
              <w:t>+86 21 6263 5970</w:t>
            </w:r>
            <w:bookmarkEnd w:id="3"/>
          </w:p>
          <w:p w14:paraId="4F910ACA" w14:textId="3594841A" w:rsidR="0049405C" w:rsidRPr="00187BAA" w:rsidRDefault="003D09FF" w:rsidP="003D09FF">
            <w:pPr>
              <w:spacing w:line="360" w:lineRule="auto"/>
              <w:rPr>
                <w:rFonts w:ascii="宋体" w:eastAsia="宋体" w:hAnsi="宋体"/>
                <w:color w:val="000000"/>
              </w:rPr>
            </w:pPr>
            <w:bookmarkStart w:id="4" w:name="youxiang"/>
            <w:r w:rsidRPr="003D09FF">
              <w:rPr>
                <w:rFonts w:ascii="宋体" w:eastAsia="宋体" w:hAnsi="Times New Roman"/>
                <w:color w:val="000000"/>
              </w:rPr>
              <w:t>keluo@fangdalaw.com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775A44" w:rsidR="0049405C" w:rsidRPr="00187BAA" w:rsidRDefault="003D09F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8CED02C" wp14:editId="70A80A4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D9CB1DD" w:rsidR="009465FB" w:rsidRPr="00187BAA" w:rsidRDefault="003D09FF" w:rsidP="007177F3">
            <w:pPr>
              <w:rPr>
                <w:rFonts w:ascii="宋体" w:eastAsia="宋体" w:hAnsi="宋体"/>
                <w:color w:val="000000"/>
                <w:szCs w:val="21"/>
              </w:rPr>
            </w:pPr>
            <w:bookmarkStart w:id="6" w:name="zhiyelingyu"/>
            <w:r w:rsidRPr="003D09FF">
              <w:rPr>
                <w:rFonts w:ascii="宋体" w:eastAsia="宋体" w:hAnsi="Times New Roman" w:hint="eastAsia"/>
                <w:color w:val="000000"/>
                <w:szCs w:val="21"/>
              </w:rPr>
              <w:t>罗珂主要从事产业并购、股权融资及资产市场交易。他尤其擅长跨境交易的策划、谈判和执行，以及涉及公司治理结构和特别股东权利的争议解决。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8ACF05" w14:textId="77777777" w:rsidR="003D09F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DC57BB" w14:textId="77777777" w:rsidR="003D09FF" w:rsidRDefault="003D09FF" w:rsidP="003D09FF">
      <w:pPr>
        <w:pStyle w:val="af5"/>
        <w:spacing w:after="0" w:line="480" w:lineRule="auto"/>
        <w:rPr>
          <w:rFonts w:ascii="宋体" w:eastAsia="宋体" w:hAnsi="宋体"/>
          <w:b/>
          <w:sz w:val="24"/>
        </w:rPr>
      </w:pPr>
      <w:r w:rsidRPr="003D09FF">
        <w:rPr>
          <w:rFonts w:ascii="宋体" w:eastAsia="宋体" w:hAnsi="宋体" w:hint="eastAsia"/>
          <w:b/>
          <w:sz w:val="24"/>
        </w:rPr>
        <w:t>近期代理的主要案件</w:t>
      </w:r>
    </w:p>
    <w:p w14:paraId="65B30291" w14:textId="77777777" w:rsidR="003D09FF" w:rsidRDefault="003D09FF" w:rsidP="003D09FF">
      <w:pPr>
        <w:pStyle w:val="af5"/>
        <w:spacing w:before="120"/>
        <w:rPr>
          <w:rFonts w:ascii="宋体" w:eastAsia="宋体" w:hAnsi="Times New Roman"/>
          <w:color w:val="000000"/>
        </w:rPr>
      </w:pPr>
      <w:r w:rsidRPr="003D09FF">
        <w:rPr>
          <w:rFonts w:ascii="宋体" w:eastAsia="宋体" w:hAnsi="Times New Roman" w:hint="eastAsia"/>
          <w:color w:val="000000"/>
        </w:rPr>
        <w:t>产业并购重组</w:t>
      </w:r>
    </w:p>
    <w:p w14:paraId="7C647682" w14:textId="77777777" w:rsidR="003D09FF" w:rsidRDefault="003D09FF" w:rsidP="003D09FF">
      <w:pPr>
        <w:pStyle w:val="af5"/>
        <w:numPr>
          <w:ilvl w:val="0"/>
          <w:numId w:val="4"/>
        </w:numPr>
        <w:spacing w:before="120"/>
        <w:ind w:left="690" w:hanging="240"/>
        <w:rPr>
          <w:rFonts w:ascii="宋体" w:eastAsia="宋体" w:hAnsi="Times New Roman"/>
          <w:color w:val="000000"/>
        </w:rPr>
      </w:pPr>
      <w:r w:rsidRPr="003D09FF">
        <w:rPr>
          <w:rFonts w:ascii="宋体" w:eastAsia="宋体" w:hAnsi="Times New Roman" w:hint="eastAsia"/>
          <w:color w:val="000000"/>
        </w:rPr>
        <w:t>代表</w:t>
      </w:r>
      <w:r w:rsidRPr="003D09FF">
        <w:rPr>
          <w:rFonts w:ascii="宋体" w:eastAsia="宋体" w:hAnsi="Times New Roman"/>
          <w:color w:val="000000"/>
        </w:rPr>
        <w:t>ASMPT Limited（00522.HK）向智路资本出售Advanced Assembly Materials International（AAMI）的控制性股份，及其在通过跨境换股方式向至正股份（603991.SH）出售AAMI的剩余股份。</w:t>
      </w:r>
    </w:p>
    <w:p w14:paraId="66ADBF6D" w14:textId="77777777" w:rsidR="003D09FF" w:rsidRDefault="003D09FF" w:rsidP="003D09FF">
      <w:pPr>
        <w:pStyle w:val="af5"/>
        <w:numPr>
          <w:ilvl w:val="0"/>
          <w:numId w:val="5"/>
        </w:numPr>
        <w:spacing w:before="120"/>
        <w:ind w:left="690" w:hanging="240"/>
        <w:rPr>
          <w:rFonts w:ascii="宋体" w:eastAsia="宋体" w:hAnsi="Times New Roman"/>
          <w:color w:val="000000"/>
        </w:rPr>
      </w:pPr>
      <w:r w:rsidRPr="003D09FF">
        <w:rPr>
          <w:rFonts w:ascii="宋体" w:eastAsia="宋体" w:hAnsi="Times New Roman" w:hint="eastAsia"/>
          <w:color w:val="000000"/>
        </w:rPr>
        <w:t>代表中国技术进出口集团认购伟能集团（</w:t>
      </w:r>
      <w:r w:rsidRPr="003D09FF">
        <w:rPr>
          <w:rFonts w:ascii="宋体" w:eastAsia="宋体" w:hAnsi="Times New Roman"/>
          <w:color w:val="000000"/>
        </w:rPr>
        <w:t>1608.HK）之控制性股份以及交割后业务和财务重组。</w:t>
      </w:r>
    </w:p>
    <w:p w14:paraId="60273F5D" w14:textId="77777777" w:rsidR="003D09FF" w:rsidRDefault="003D09FF" w:rsidP="003D09FF">
      <w:pPr>
        <w:pStyle w:val="af5"/>
        <w:numPr>
          <w:ilvl w:val="0"/>
          <w:numId w:val="6"/>
        </w:numPr>
        <w:spacing w:before="120"/>
        <w:ind w:left="690" w:hanging="240"/>
        <w:rPr>
          <w:rFonts w:ascii="宋体" w:eastAsia="宋体" w:hAnsi="Times New Roman"/>
          <w:color w:val="000000"/>
        </w:rPr>
      </w:pPr>
      <w:r w:rsidRPr="003D09FF">
        <w:rPr>
          <w:rFonts w:ascii="宋体" w:eastAsia="宋体" w:hAnsi="Times New Roman" w:hint="eastAsia"/>
          <w:color w:val="000000"/>
        </w:rPr>
        <w:t>代表天山一号产业投资基金以约港币</w:t>
      </w:r>
      <w:r w:rsidRPr="003D09FF">
        <w:rPr>
          <w:rFonts w:ascii="宋体" w:eastAsia="宋体" w:hAnsi="Times New Roman"/>
          <w:color w:val="000000"/>
        </w:rPr>
        <w:t>16亿元的对价收购香港上市公司西藏水资源有限公司（01115.HK）之约18%已发行股份。</w:t>
      </w:r>
    </w:p>
    <w:p w14:paraId="463D5B2D" w14:textId="77777777" w:rsidR="003D09FF" w:rsidRDefault="003D09FF" w:rsidP="003D09FF">
      <w:pPr>
        <w:pStyle w:val="af5"/>
        <w:numPr>
          <w:ilvl w:val="0"/>
          <w:numId w:val="7"/>
        </w:numPr>
        <w:spacing w:before="120"/>
        <w:ind w:left="690" w:hanging="240"/>
        <w:rPr>
          <w:rFonts w:ascii="宋体" w:eastAsia="宋体" w:hAnsi="Times New Roman"/>
          <w:color w:val="000000"/>
        </w:rPr>
      </w:pPr>
      <w:r w:rsidRPr="003D09FF">
        <w:rPr>
          <w:rFonts w:ascii="宋体" w:eastAsia="宋体" w:hAnsi="Times New Roman" w:hint="eastAsia"/>
          <w:color w:val="000000"/>
        </w:rPr>
        <w:t>代表华润创业收购乐购的中国区零售和商业地产业务。</w:t>
      </w:r>
    </w:p>
    <w:p w14:paraId="277E34CD" w14:textId="77777777" w:rsidR="003D09FF" w:rsidRDefault="003D09FF" w:rsidP="003D09FF">
      <w:pPr>
        <w:pStyle w:val="af5"/>
        <w:numPr>
          <w:ilvl w:val="0"/>
          <w:numId w:val="8"/>
        </w:numPr>
        <w:spacing w:before="120"/>
        <w:ind w:left="690" w:hanging="240"/>
        <w:rPr>
          <w:rFonts w:ascii="宋体" w:eastAsia="宋体" w:hAnsi="Times New Roman"/>
          <w:color w:val="000000"/>
        </w:rPr>
      </w:pPr>
      <w:r w:rsidRPr="003D09FF">
        <w:rPr>
          <w:rFonts w:ascii="宋体" w:eastAsia="宋体" w:hAnsi="Times New Roman" w:hint="eastAsia"/>
          <w:color w:val="000000"/>
        </w:rPr>
        <w:t>代表华润集团收购和重组三九集团。</w:t>
      </w:r>
    </w:p>
    <w:p w14:paraId="3A917A70" w14:textId="77777777" w:rsidR="003D09FF" w:rsidRDefault="003D09FF" w:rsidP="003D09FF">
      <w:pPr>
        <w:pStyle w:val="af5"/>
        <w:numPr>
          <w:ilvl w:val="0"/>
          <w:numId w:val="9"/>
        </w:numPr>
        <w:spacing w:before="120"/>
        <w:ind w:left="690" w:hanging="240"/>
        <w:rPr>
          <w:rFonts w:ascii="宋体" w:eastAsia="宋体" w:hAnsi="Times New Roman"/>
          <w:color w:val="000000"/>
        </w:rPr>
      </w:pPr>
      <w:r w:rsidRPr="003D09FF">
        <w:rPr>
          <w:rFonts w:ascii="宋体" w:eastAsia="宋体" w:hAnsi="Times New Roman" w:hint="eastAsia"/>
          <w:color w:val="000000"/>
        </w:rPr>
        <w:t>代表包括</w:t>
      </w:r>
      <w:r w:rsidRPr="003D09FF">
        <w:rPr>
          <w:rFonts w:ascii="宋体" w:eastAsia="宋体" w:hAnsi="Times New Roman"/>
          <w:color w:val="000000"/>
        </w:rPr>
        <w:t>Agility、Analogic、ASMPT、Bayer、Mitsui、MKS Instrument、SCA、Steelcase、Walmart等众多跨国公司在中国进行产业并购或重组。</w:t>
      </w:r>
    </w:p>
    <w:p w14:paraId="7FC589C5" w14:textId="77777777" w:rsidR="003D09FF" w:rsidRDefault="003D09FF" w:rsidP="003D09FF">
      <w:pPr>
        <w:pStyle w:val="af5"/>
        <w:spacing w:before="120"/>
        <w:rPr>
          <w:rFonts w:ascii="宋体" w:eastAsia="宋体" w:hAnsi="Times New Roman"/>
          <w:color w:val="000000"/>
        </w:rPr>
      </w:pPr>
      <w:r w:rsidRPr="003D09FF">
        <w:rPr>
          <w:rFonts w:ascii="宋体" w:eastAsia="宋体" w:hAnsi="Times New Roman" w:hint="eastAsia"/>
          <w:color w:val="000000"/>
        </w:rPr>
        <w:t>资本市场</w:t>
      </w:r>
    </w:p>
    <w:p w14:paraId="6E544800" w14:textId="77777777" w:rsidR="003D09FF" w:rsidRDefault="003D09FF" w:rsidP="003D09FF">
      <w:pPr>
        <w:pStyle w:val="af5"/>
        <w:numPr>
          <w:ilvl w:val="0"/>
          <w:numId w:val="10"/>
        </w:numPr>
        <w:spacing w:before="120"/>
        <w:ind w:left="690" w:hanging="240"/>
        <w:rPr>
          <w:rFonts w:ascii="宋体" w:eastAsia="宋体" w:hAnsi="Times New Roman"/>
          <w:color w:val="000000"/>
        </w:rPr>
      </w:pPr>
      <w:r w:rsidRPr="003D09FF">
        <w:rPr>
          <w:rFonts w:ascii="宋体" w:eastAsia="宋体" w:hAnsi="Times New Roman" w:hint="eastAsia"/>
          <w:color w:val="000000"/>
        </w:rPr>
        <w:t>代表视涯科技（</w:t>
      </w:r>
      <w:r w:rsidRPr="003D09FF">
        <w:rPr>
          <w:rFonts w:ascii="宋体" w:eastAsia="宋体" w:hAnsi="Times New Roman"/>
          <w:color w:val="000000"/>
        </w:rPr>
        <w:t>688781.SH）之首次公开发行股份（募集资金人民币22.68亿元）并在上海证券交易所科创板上市。</w:t>
      </w:r>
    </w:p>
    <w:p w14:paraId="63355ABE" w14:textId="77777777" w:rsidR="003D09FF" w:rsidRDefault="003D09FF" w:rsidP="003D09FF">
      <w:pPr>
        <w:pStyle w:val="af5"/>
        <w:numPr>
          <w:ilvl w:val="0"/>
          <w:numId w:val="11"/>
        </w:numPr>
        <w:spacing w:before="120"/>
        <w:ind w:left="690" w:hanging="240"/>
        <w:rPr>
          <w:rFonts w:ascii="宋体" w:eastAsia="宋体" w:hAnsi="Times New Roman"/>
          <w:color w:val="000000"/>
        </w:rPr>
      </w:pPr>
      <w:r w:rsidRPr="003D09FF">
        <w:rPr>
          <w:rFonts w:ascii="宋体" w:eastAsia="宋体" w:hAnsi="Times New Roman" w:hint="eastAsia"/>
          <w:color w:val="000000"/>
        </w:rPr>
        <w:t>代表奕瑞科技（</w:t>
      </w:r>
      <w:r w:rsidRPr="003D09FF">
        <w:rPr>
          <w:rFonts w:ascii="宋体" w:eastAsia="宋体" w:hAnsi="Times New Roman"/>
          <w:color w:val="000000"/>
        </w:rPr>
        <w:t>688301.SH）之首次公开发行股份（募集资金人民币21亿元）并在上海证券交易所科创板上市、及其在上市后发行人民币14亿元可转股债券、以及向特定对象发行A股股票（募集资金人民币11,74亿元）。</w:t>
      </w:r>
    </w:p>
    <w:p w14:paraId="2367B785" w14:textId="77777777" w:rsidR="003D09FF" w:rsidRDefault="003D09FF" w:rsidP="003D09FF">
      <w:pPr>
        <w:pStyle w:val="af5"/>
        <w:numPr>
          <w:ilvl w:val="0"/>
          <w:numId w:val="12"/>
        </w:numPr>
        <w:spacing w:before="120"/>
        <w:ind w:left="690" w:hanging="240"/>
        <w:rPr>
          <w:rFonts w:ascii="宋体" w:eastAsia="宋体" w:hAnsi="Times New Roman"/>
          <w:color w:val="000000"/>
        </w:rPr>
      </w:pPr>
      <w:r w:rsidRPr="003D09FF">
        <w:rPr>
          <w:rFonts w:ascii="宋体" w:eastAsia="宋体" w:hAnsi="Times New Roman" w:hint="eastAsia"/>
          <w:color w:val="000000"/>
        </w:rPr>
        <w:t>代表</w:t>
      </w:r>
      <w:r w:rsidRPr="003D09FF">
        <w:rPr>
          <w:rFonts w:ascii="宋体" w:eastAsia="宋体" w:hAnsi="Times New Roman"/>
          <w:color w:val="000000"/>
        </w:rPr>
        <w:t>TCL科技集团（000100.SZ）发行3亿美元在新加坡交易所上市的无抵押债券</w:t>
      </w:r>
    </w:p>
    <w:p w14:paraId="262658BB" w14:textId="77777777" w:rsidR="003D09FF" w:rsidRDefault="003D09FF" w:rsidP="003D09FF">
      <w:pPr>
        <w:pStyle w:val="af5"/>
        <w:numPr>
          <w:ilvl w:val="0"/>
          <w:numId w:val="13"/>
        </w:numPr>
        <w:spacing w:before="120"/>
        <w:ind w:left="690" w:hanging="240"/>
        <w:rPr>
          <w:rFonts w:ascii="宋体" w:eastAsia="宋体" w:hAnsi="Times New Roman"/>
          <w:color w:val="000000"/>
        </w:rPr>
      </w:pPr>
      <w:r w:rsidRPr="003D09FF">
        <w:rPr>
          <w:rFonts w:ascii="宋体" w:eastAsia="宋体" w:hAnsi="Times New Roman" w:hint="eastAsia"/>
          <w:color w:val="000000"/>
        </w:rPr>
        <w:t>作为发行人或保荐人的中国法律顾问参与广联科技（</w:t>
      </w:r>
      <w:r w:rsidRPr="003D09FF">
        <w:rPr>
          <w:rFonts w:ascii="宋体" w:eastAsia="宋体" w:hAnsi="Times New Roman"/>
          <w:color w:val="000000"/>
        </w:rPr>
        <w:t>02531.HK）、嘉创房地产（02421.HK）、业聚医疗（06929.HK） 、桐林天然气（08536.HK） 、比亚迪电子（00285.HK） 、昂纳通讯（00877.HK） 、银基集团（00886.HK） 、南旋控股（01982.HK） 、达力环保（01790.HK） 等二十余家企业公开发行股份并在香港证券交易所上市。</w:t>
      </w:r>
    </w:p>
    <w:p w14:paraId="5013806C" w14:textId="77777777" w:rsidR="003D09FF" w:rsidRDefault="003D09FF" w:rsidP="003D09FF">
      <w:pPr>
        <w:pStyle w:val="af5"/>
        <w:numPr>
          <w:ilvl w:val="0"/>
          <w:numId w:val="14"/>
        </w:numPr>
        <w:spacing w:before="120"/>
        <w:ind w:left="690" w:hanging="240"/>
        <w:rPr>
          <w:rFonts w:ascii="宋体" w:eastAsia="宋体" w:hAnsi="Times New Roman"/>
          <w:color w:val="000000"/>
        </w:rPr>
      </w:pPr>
      <w:r w:rsidRPr="003D09FF">
        <w:rPr>
          <w:rFonts w:ascii="宋体" w:eastAsia="宋体" w:hAnsi="Times New Roman" w:hint="eastAsia"/>
          <w:color w:val="000000"/>
        </w:rPr>
        <w:t>代表发行人或承销商的中国法律顾问参与玖邦数码（</w:t>
      </w:r>
      <w:r w:rsidRPr="003D09FF">
        <w:rPr>
          <w:rFonts w:ascii="宋体" w:eastAsia="宋体" w:hAnsi="Times New Roman"/>
          <w:color w:val="000000"/>
        </w:rPr>
        <w:t>GOMO） 、迅雷（XNET） 、唯品会（VIPS） 、欢聚时代（YY） 、科通集团（Comtech）、SemiLEDS （LEDS）等众多企业在中国境外首次公开发行股份并在美国NYSE或Nasdaq上市。</w:t>
      </w:r>
    </w:p>
    <w:p w14:paraId="2D4D8C6E" w14:textId="77777777" w:rsidR="003D09FF" w:rsidRDefault="003D09FF" w:rsidP="003D09FF">
      <w:pPr>
        <w:pStyle w:val="af5"/>
        <w:numPr>
          <w:ilvl w:val="0"/>
          <w:numId w:val="15"/>
        </w:numPr>
        <w:spacing w:before="120"/>
        <w:ind w:left="690" w:hanging="240"/>
        <w:rPr>
          <w:rFonts w:ascii="宋体" w:eastAsia="宋体" w:hAnsi="Times New Roman"/>
          <w:color w:val="000000"/>
        </w:rPr>
      </w:pPr>
      <w:r w:rsidRPr="003D09FF">
        <w:rPr>
          <w:rFonts w:ascii="宋体" w:eastAsia="宋体" w:hAnsi="Times New Roman" w:hint="eastAsia"/>
          <w:color w:val="000000"/>
        </w:rPr>
        <w:t>代表蓝韵科技、中国闽中等多家中国企业在中国境外公开发行股票并在新加坡交易所上市。</w:t>
      </w:r>
    </w:p>
    <w:p w14:paraId="21AEA9CB" w14:textId="77777777" w:rsidR="003D09FF" w:rsidRDefault="003D09FF" w:rsidP="003D09FF">
      <w:pPr>
        <w:pStyle w:val="af5"/>
        <w:spacing w:before="120"/>
        <w:rPr>
          <w:rFonts w:ascii="宋体" w:eastAsia="宋体" w:hAnsi="Times New Roman"/>
          <w:color w:val="000000"/>
        </w:rPr>
      </w:pPr>
      <w:r w:rsidRPr="003D09FF">
        <w:rPr>
          <w:rFonts w:ascii="宋体" w:eastAsia="宋体" w:hAnsi="Times New Roman" w:hint="eastAsia"/>
          <w:color w:val="000000"/>
        </w:rPr>
        <w:t>私募股权</w:t>
      </w:r>
    </w:p>
    <w:p w14:paraId="746391E5" w14:textId="77777777" w:rsidR="003D09FF" w:rsidRDefault="003D09FF" w:rsidP="003D09FF">
      <w:pPr>
        <w:pStyle w:val="af5"/>
        <w:numPr>
          <w:ilvl w:val="0"/>
          <w:numId w:val="16"/>
        </w:numPr>
        <w:spacing w:before="120"/>
        <w:ind w:left="690" w:hanging="240"/>
        <w:rPr>
          <w:rFonts w:ascii="宋体" w:eastAsia="宋体" w:hAnsi="Times New Roman"/>
          <w:color w:val="000000"/>
        </w:rPr>
      </w:pPr>
      <w:r w:rsidRPr="003D09FF">
        <w:rPr>
          <w:rFonts w:ascii="宋体" w:eastAsia="宋体" w:hAnsi="Times New Roman" w:hint="eastAsia"/>
          <w:color w:val="000000"/>
        </w:rPr>
        <w:t>代表新加坡邮政对递四方速递进行多轮战略投资及其与菜鸟组建经营跨境转运业务的境内和境外合资公司。</w:t>
      </w:r>
    </w:p>
    <w:p w14:paraId="1AAB8432" w14:textId="77777777" w:rsidR="003D09FF" w:rsidRDefault="003D09FF" w:rsidP="003D09FF">
      <w:pPr>
        <w:pStyle w:val="af5"/>
        <w:numPr>
          <w:ilvl w:val="0"/>
          <w:numId w:val="17"/>
        </w:numPr>
        <w:spacing w:before="120"/>
        <w:ind w:left="690" w:hanging="240"/>
        <w:rPr>
          <w:rFonts w:ascii="宋体" w:eastAsia="宋体" w:hAnsi="Times New Roman"/>
          <w:color w:val="000000"/>
        </w:rPr>
      </w:pPr>
      <w:r w:rsidRPr="003D09FF">
        <w:rPr>
          <w:rFonts w:ascii="宋体" w:eastAsia="宋体" w:hAnsi="Times New Roman" w:hint="eastAsia"/>
          <w:color w:val="000000"/>
        </w:rPr>
        <w:t>代表战略和财务投资人购买及出售海容通信（一个在东盟地区从事通信基础设施的投资、建设及运营的企业集团）的股份。</w:t>
      </w:r>
    </w:p>
    <w:p w14:paraId="6D5C7CC9" w14:textId="77777777" w:rsidR="003D09FF" w:rsidRDefault="003D09FF" w:rsidP="003D09FF">
      <w:pPr>
        <w:pStyle w:val="af5"/>
        <w:numPr>
          <w:ilvl w:val="0"/>
          <w:numId w:val="18"/>
        </w:numPr>
        <w:spacing w:before="120"/>
        <w:ind w:left="690" w:hanging="240"/>
        <w:rPr>
          <w:rFonts w:ascii="宋体" w:eastAsia="宋体" w:hAnsi="Times New Roman"/>
          <w:color w:val="000000"/>
        </w:rPr>
      </w:pPr>
      <w:r w:rsidRPr="003D09FF">
        <w:rPr>
          <w:rFonts w:ascii="宋体" w:eastAsia="宋体" w:hAnsi="Times New Roman" w:hint="eastAsia"/>
          <w:color w:val="000000"/>
        </w:rPr>
        <w:t>代表华润万家获得碧桂园、农银国际、中银国际和中金资本等战略投资人的合计</w:t>
      </w:r>
      <w:r w:rsidRPr="003D09FF">
        <w:rPr>
          <w:rFonts w:ascii="宋体" w:eastAsia="宋体" w:hAnsi="Times New Roman"/>
          <w:color w:val="000000"/>
        </w:rPr>
        <w:t>4亿美元股权投资。</w:t>
      </w:r>
    </w:p>
    <w:p w14:paraId="223E29FD" w14:textId="77777777" w:rsidR="003D09FF" w:rsidRDefault="003D09FF" w:rsidP="003D09FF">
      <w:pPr>
        <w:pStyle w:val="af5"/>
        <w:numPr>
          <w:ilvl w:val="0"/>
          <w:numId w:val="19"/>
        </w:numPr>
        <w:spacing w:before="120"/>
        <w:ind w:left="690" w:hanging="240"/>
        <w:rPr>
          <w:rFonts w:ascii="宋体" w:eastAsia="宋体" w:hAnsi="Times New Roman"/>
          <w:color w:val="000000"/>
        </w:rPr>
      </w:pPr>
      <w:r w:rsidRPr="003D09FF">
        <w:rPr>
          <w:rFonts w:ascii="宋体" w:eastAsia="宋体" w:hAnsi="Times New Roman" w:hint="eastAsia"/>
          <w:color w:val="000000"/>
        </w:rPr>
        <w:t>分别代表华润资本、中金资本和招商局资本（作为普通合伙人和基金管理人）发起设立十余支私募股权和创业投资基金。</w:t>
      </w:r>
    </w:p>
    <w:p w14:paraId="2F707B95" w14:textId="77777777" w:rsidR="003D09FF" w:rsidRDefault="003D09FF" w:rsidP="003D09FF">
      <w:pPr>
        <w:pStyle w:val="af5"/>
        <w:numPr>
          <w:ilvl w:val="0"/>
          <w:numId w:val="20"/>
        </w:numPr>
        <w:spacing w:before="120"/>
        <w:ind w:left="690" w:hanging="240"/>
        <w:rPr>
          <w:rFonts w:ascii="宋体" w:eastAsia="宋体" w:hAnsi="Times New Roman"/>
          <w:color w:val="000000"/>
        </w:rPr>
      </w:pPr>
      <w:r w:rsidRPr="003D09FF">
        <w:rPr>
          <w:rFonts w:ascii="宋体" w:eastAsia="宋体" w:hAnsi="Times New Roman" w:hint="eastAsia"/>
          <w:color w:val="000000"/>
        </w:rPr>
        <w:t>代表招商局资本和中金资本（作为投资人）分别投资数十家人民币私募股权和创业投资基金。</w:t>
      </w:r>
    </w:p>
    <w:p w14:paraId="3E95639B" w14:textId="77777777" w:rsidR="003D09FF" w:rsidRDefault="003D09FF" w:rsidP="003D09FF">
      <w:pPr>
        <w:pStyle w:val="af5"/>
        <w:spacing w:before="120"/>
        <w:rPr>
          <w:rFonts w:ascii="宋体" w:eastAsia="宋体" w:hAnsi="Times New Roman"/>
          <w:color w:val="000000"/>
        </w:rPr>
      </w:pPr>
      <w:r w:rsidRPr="003D09FF">
        <w:rPr>
          <w:rFonts w:ascii="宋体" w:eastAsia="宋体" w:hAnsi="Times New Roman" w:hint="eastAsia"/>
          <w:color w:val="000000"/>
        </w:rPr>
        <w:t>公司控制权争议</w:t>
      </w:r>
    </w:p>
    <w:p w14:paraId="3C9E4C39" w14:textId="77777777" w:rsidR="003D09FF" w:rsidRDefault="003D09FF" w:rsidP="003D09FF">
      <w:pPr>
        <w:pStyle w:val="af5"/>
        <w:numPr>
          <w:ilvl w:val="0"/>
          <w:numId w:val="21"/>
        </w:numPr>
        <w:spacing w:before="120"/>
        <w:ind w:left="690" w:hanging="240"/>
        <w:rPr>
          <w:rFonts w:ascii="宋体" w:eastAsia="宋体" w:hAnsi="Times New Roman"/>
          <w:color w:val="000000"/>
        </w:rPr>
      </w:pPr>
      <w:r w:rsidRPr="003D09FF">
        <w:rPr>
          <w:rFonts w:ascii="宋体" w:eastAsia="宋体" w:hAnsi="Times New Roman" w:hint="eastAsia"/>
          <w:color w:val="000000"/>
        </w:rPr>
        <w:t>代表东方精工（</w:t>
      </w:r>
      <w:r w:rsidRPr="003D09FF">
        <w:rPr>
          <w:rFonts w:ascii="宋体" w:eastAsia="宋体" w:hAnsi="Times New Roman"/>
          <w:color w:val="000000"/>
        </w:rPr>
        <w:t>002611.SZ），就其与宁德时代（300750。SZ）、福田汽车（600160.SH）之间有关东方精工以人民币47亿元对价收购普莱德100%股权、以及有关普莱德业绩承诺补偿、公司治理结构和控制权争议向东方精工提供策略性建议，并代表东方精工出售普莱德的100%股权。</w:t>
      </w:r>
    </w:p>
    <w:p w14:paraId="008AF64A" w14:textId="77777777" w:rsidR="003D09FF" w:rsidRDefault="003D09FF" w:rsidP="003D09FF">
      <w:pPr>
        <w:pStyle w:val="af5"/>
        <w:numPr>
          <w:ilvl w:val="0"/>
          <w:numId w:val="22"/>
        </w:numPr>
        <w:spacing w:before="120"/>
        <w:ind w:left="690" w:hanging="240"/>
        <w:rPr>
          <w:rFonts w:ascii="宋体" w:eastAsia="宋体" w:hAnsi="Times New Roman"/>
          <w:color w:val="000000"/>
        </w:rPr>
      </w:pPr>
      <w:r w:rsidRPr="003D09FF">
        <w:rPr>
          <w:rFonts w:ascii="宋体" w:eastAsia="宋体" w:hAnsi="Times New Roman" w:hint="eastAsia"/>
          <w:color w:val="000000"/>
        </w:rPr>
        <w:t>代表华润，就宝能之拟收购万科、万科之拟发行股份购买深圳地铁重大资产、涉及万科之公司治理结构和控制权争议、以及华润以约人民币</w:t>
      </w:r>
      <w:r w:rsidRPr="003D09FF">
        <w:rPr>
          <w:rFonts w:ascii="宋体" w:eastAsia="宋体" w:hAnsi="Times New Roman"/>
          <w:color w:val="000000"/>
        </w:rPr>
        <w:t>372亿对价向深圳地铁出售万科之约15.31%股份，向华润提供策略性法律建议及交易服务。</w:t>
      </w:r>
    </w:p>
    <w:p w14:paraId="788CC3C6" w14:textId="77777777" w:rsidR="003D09FF" w:rsidRDefault="003D09FF" w:rsidP="003D09FF">
      <w:pPr>
        <w:pStyle w:val="af5"/>
        <w:numPr>
          <w:ilvl w:val="0"/>
          <w:numId w:val="23"/>
        </w:numPr>
        <w:spacing w:before="120"/>
        <w:ind w:left="690" w:hanging="240"/>
        <w:rPr>
          <w:rFonts w:ascii="宋体" w:eastAsia="宋体" w:hAnsi="Times New Roman"/>
          <w:color w:val="000000"/>
        </w:rPr>
      </w:pPr>
      <w:r w:rsidRPr="003D09FF">
        <w:rPr>
          <w:rFonts w:ascii="宋体" w:eastAsia="宋体" w:hAnsi="Times New Roman" w:hint="eastAsia"/>
          <w:color w:val="000000"/>
        </w:rPr>
        <w:t>代表奈步全球国际公司（伦敦交易所上市公司）的董事会与其控股股东之间关于公司控制权的纠纷和诉讼。</w:t>
      </w:r>
    </w:p>
    <w:p w14:paraId="7A6EAD57" w14:textId="77777777" w:rsidR="003D09FF" w:rsidRDefault="003D09FF" w:rsidP="003D09FF">
      <w:pPr>
        <w:pStyle w:val="af5"/>
        <w:spacing w:after="0" w:line="480" w:lineRule="auto"/>
        <w:rPr>
          <w:rFonts w:ascii="宋体" w:eastAsia="宋体" w:hAnsi="宋体"/>
          <w:b/>
          <w:sz w:val="24"/>
        </w:rPr>
      </w:pPr>
      <w:r w:rsidRPr="003D09FF">
        <w:rPr>
          <w:rFonts w:ascii="宋体" w:eastAsia="宋体" w:hAnsi="宋体" w:hint="eastAsia"/>
          <w:b/>
          <w:sz w:val="24"/>
        </w:rPr>
        <w:t>教育背景</w:t>
      </w:r>
    </w:p>
    <w:p w14:paraId="2D8125F8" w14:textId="77777777" w:rsidR="003D09FF" w:rsidRDefault="003D09FF" w:rsidP="003D09FF">
      <w:pPr>
        <w:pStyle w:val="af5"/>
        <w:numPr>
          <w:ilvl w:val="0"/>
          <w:numId w:val="24"/>
        </w:numPr>
        <w:spacing w:before="120"/>
        <w:ind w:left="690" w:hanging="240"/>
        <w:rPr>
          <w:rFonts w:ascii="宋体" w:eastAsia="宋体" w:hAnsi="Times New Roman"/>
          <w:color w:val="000000"/>
        </w:rPr>
      </w:pPr>
      <w:r w:rsidRPr="003D09FF">
        <w:rPr>
          <w:rFonts w:ascii="宋体" w:eastAsia="宋体" w:hAnsi="Times New Roman" w:hint="eastAsia"/>
          <w:color w:val="000000"/>
        </w:rPr>
        <w:t>对外经济贸易大学，法学学士，</w:t>
      </w:r>
      <w:r w:rsidRPr="003D09FF">
        <w:rPr>
          <w:rFonts w:ascii="宋体" w:eastAsia="宋体" w:hAnsi="Times New Roman"/>
          <w:color w:val="000000"/>
        </w:rPr>
        <w:t>1997</w:t>
      </w:r>
    </w:p>
    <w:p w14:paraId="5372D8D6" w14:textId="77777777" w:rsidR="003D09FF" w:rsidRDefault="003D09FF" w:rsidP="003D09FF">
      <w:pPr>
        <w:pStyle w:val="af5"/>
        <w:spacing w:after="0" w:line="480" w:lineRule="auto"/>
        <w:rPr>
          <w:rFonts w:ascii="宋体" w:eastAsia="宋体" w:hAnsi="宋体"/>
          <w:b/>
          <w:sz w:val="24"/>
        </w:rPr>
      </w:pPr>
      <w:r w:rsidRPr="003D09FF">
        <w:rPr>
          <w:rFonts w:ascii="宋体" w:eastAsia="宋体" w:hAnsi="宋体" w:hint="eastAsia"/>
          <w:b/>
          <w:sz w:val="24"/>
        </w:rPr>
        <w:t>执业资格</w:t>
      </w:r>
    </w:p>
    <w:p w14:paraId="6FE234B2" w14:textId="77777777" w:rsidR="003D09FF" w:rsidRDefault="003D09FF" w:rsidP="003D09FF">
      <w:pPr>
        <w:pStyle w:val="af5"/>
        <w:numPr>
          <w:ilvl w:val="0"/>
          <w:numId w:val="25"/>
        </w:numPr>
        <w:spacing w:before="120"/>
        <w:ind w:left="690" w:hanging="240"/>
        <w:rPr>
          <w:rFonts w:ascii="宋体" w:eastAsia="宋体" w:hAnsi="Times New Roman"/>
          <w:color w:val="000000"/>
        </w:rPr>
      </w:pPr>
      <w:r w:rsidRPr="003D09FF">
        <w:rPr>
          <w:rFonts w:ascii="宋体" w:eastAsia="宋体" w:hAnsi="Times New Roman" w:hint="eastAsia"/>
          <w:color w:val="000000"/>
        </w:rPr>
        <w:t>中华人民共和国执业律师，</w:t>
      </w:r>
      <w:r w:rsidRPr="003D09FF">
        <w:rPr>
          <w:rFonts w:ascii="宋体" w:eastAsia="宋体" w:hAnsi="Times New Roman"/>
          <w:color w:val="000000"/>
        </w:rPr>
        <w:t>1999</w:t>
      </w:r>
    </w:p>
    <w:p w14:paraId="34399A72" w14:textId="77777777" w:rsidR="003D09FF" w:rsidRDefault="003D09FF" w:rsidP="003D09FF">
      <w:pPr>
        <w:pStyle w:val="af5"/>
        <w:spacing w:after="0" w:line="480" w:lineRule="auto"/>
        <w:rPr>
          <w:rFonts w:ascii="宋体" w:eastAsia="宋体" w:hAnsi="宋体"/>
          <w:b/>
          <w:sz w:val="24"/>
        </w:rPr>
      </w:pPr>
      <w:r w:rsidRPr="003D09FF">
        <w:rPr>
          <w:rFonts w:ascii="宋体" w:eastAsia="宋体" w:hAnsi="宋体" w:hint="eastAsia"/>
          <w:b/>
          <w:sz w:val="24"/>
        </w:rPr>
        <w:t>职业背景</w:t>
      </w:r>
    </w:p>
    <w:p w14:paraId="3E605444" w14:textId="77777777" w:rsidR="003D09FF" w:rsidRDefault="003D09FF" w:rsidP="003D09FF">
      <w:pPr>
        <w:pStyle w:val="af5"/>
        <w:numPr>
          <w:ilvl w:val="0"/>
          <w:numId w:val="26"/>
        </w:numPr>
        <w:spacing w:before="120"/>
        <w:ind w:left="690" w:hanging="240"/>
        <w:rPr>
          <w:rFonts w:ascii="宋体" w:eastAsia="宋体" w:hAnsi="Times New Roman"/>
          <w:color w:val="000000"/>
        </w:rPr>
      </w:pPr>
      <w:r w:rsidRPr="003D09FF">
        <w:rPr>
          <w:rFonts w:ascii="宋体" w:eastAsia="宋体" w:hAnsi="Times New Roman" w:hint="eastAsia"/>
          <w:color w:val="000000"/>
        </w:rPr>
        <w:t>罗珂律师于</w:t>
      </w:r>
      <w:r w:rsidRPr="003D09FF">
        <w:rPr>
          <w:rFonts w:ascii="宋体" w:eastAsia="宋体" w:hAnsi="Times New Roman"/>
          <w:color w:val="000000"/>
        </w:rPr>
        <w:t>2001年加入方达，2004年升任合伙人。</w:t>
      </w:r>
    </w:p>
    <w:p w14:paraId="3D83EEF1" w14:textId="77777777" w:rsidR="003D09FF" w:rsidRDefault="003D09FF" w:rsidP="003D09FF">
      <w:pPr>
        <w:pStyle w:val="af5"/>
        <w:numPr>
          <w:ilvl w:val="0"/>
          <w:numId w:val="27"/>
        </w:numPr>
        <w:spacing w:before="120"/>
        <w:ind w:left="690" w:hanging="240"/>
        <w:rPr>
          <w:rFonts w:ascii="宋体" w:eastAsia="宋体" w:hAnsi="Times New Roman"/>
          <w:color w:val="000000"/>
        </w:rPr>
      </w:pPr>
      <w:r w:rsidRPr="003D09FF">
        <w:rPr>
          <w:rFonts w:ascii="宋体" w:eastAsia="宋体" w:hAnsi="Times New Roman" w:hint="eastAsia"/>
          <w:color w:val="000000"/>
        </w:rPr>
        <w:t>罗珂律师系深圳国际仲裁院和上海国际仲裁中心的仲裁员，作为首席或独任仲裁员参与众多涉及私募股权投资、非上市公司和上市公司并购的仲裁案件；其撰写的仲裁裁决书入选深圳国际仲裁院编著的《“对赌协议”典型仲裁案例和实务精要》。</w:t>
      </w:r>
    </w:p>
    <w:p w14:paraId="60E9F8C6" w14:textId="77777777" w:rsidR="003D09FF" w:rsidRDefault="003D09FF" w:rsidP="003D09FF">
      <w:pPr>
        <w:pStyle w:val="af5"/>
        <w:spacing w:after="0" w:line="480" w:lineRule="auto"/>
        <w:rPr>
          <w:rFonts w:ascii="宋体" w:eastAsia="宋体" w:hAnsi="宋体"/>
          <w:b/>
          <w:sz w:val="24"/>
        </w:rPr>
      </w:pPr>
      <w:r w:rsidRPr="003D09FF">
        <w:rPr>
          <w:rFonts w:ascii="宋体" w:eastAsia="宋体" w:hAnsi="宋体" w:hint="eastAsia"/>
          <w:b/>
          <w:sz w:val="24"/>
        </w:rPr>
        <w:t>其他信息</w:t>
      </w:r>
    </w:p>
    <w:p w14:paraId="04A5D67A" w14:textId="77777777" w:rsidR="003D09FF" w:rsidRDefault="003D09FF" w:rsidP="003D09FF">
      <w:pPr>
        <w:pStyle w:val="af5"/>
        <w:spacing w:after="0" w:line="480" w:lineRule="auto"/>
        <w:rPr>
          <w:rFonts w:ascii="宋体" w:eastAsia="宋体" w:hAnsi="宋体"/>
          <w:b/>
          <w:sz w:val="24"/>
        </w:rPr>
      </w:pPr>
      <w:r w:rsidRPr="003D09FF">
        <w:rPr>
          <w:rFonts w:ascii="宋体" w:eastAsia="宋体" w:hAnsi="宋体" w:hint="eastAsia"/>
          <w:b/>
          <w:sz w:val="24"/>
        </w:rPr>
        <w:t>获奖情况</w:t>
      </w:r>
    </w:p>
    <w:p w14:paraId="4F0A196B" w14:textId="4B43D6EA" w:rsidR="00A46A04" w:rsidRPr="003D09FF" w:rsidRDefault="003D09FF" w:rsidP="003D09FF">
      <w:pPr>
        <w:pStyle w:val="af5"/>
        <w:numPr>
          <w:ilvl w:val="0"/>
          <w:numId w:val="28"/>
        </w:numPr>
        <w:spacing w:before="120"/>
        <w:ind w:left="690" w:hanging="240"/>
        <w:rPr>
          <w:rFonts w:ascii="宋体" w:eastAsia="宋体" w:hAnsi="Times New Roman"/>
          <w:color w:val="000000"/>
        </w:rPr>
      </w:pPr>
      <w:r w:rsidRPr="003D09FF">
        <w:rPr>
          <w:rFonts w:ascii="宋体" w:eastAsia="宋体" w:hAnsi="Times New Roman"/>
          <w:color w:val="000000"/>
        </w:rPr>
        <w:t xml:space="preserve">罗珂律师入选《国际金融法律评论》亚太地区（中国 </w:t>
      </w:r>
      <w:r w:rsidRPr="003D09FF">
        <w:rPr>
          <w:rFonts w:ascii="宋体" w:eastAsia="宋体" w:hAnsi="Times New Roman"/>
          <w:color w:val="000000"/>
        </w:rPr>
        <w:t>“</w:t>
      </w:r>
      <w:r w:rsidRPr="003D09FF">
        <w:rPr>
          <w:rFonts w:ascii="宋体" w:eastAsia="宋体" w:hAnsi="Times New Roman"/>
          <w:color w:val="000000"/>
        </w:rPr>
        <w:t>杰出律师</w:t>
      </w:r>
      <w:r w:rsidRPr="003D09FF">
        <w:rPr>
          <w:rFonts w:ascii="宋体" w:eastAsia="宋体" w:hAnsi="Times New Roman"/>
          <w:color w:val="000000"/>
        </w:rPr>
        <w:t>”</w:t>
      </w:r>
      <w:r w:rsidRPr="003D09FF">
        <w:rPr>
          <w:rFonts w:ascii="宋体" w:eastAsia="宋体" w:hAnsi="Times New Roman"/>
          <w:color w:val="000000"/>
        </w:rPr>
        <w:t>，并在资本市场、私募股权、公司并购业务领域得到</w:t>
      </w:r>
      <w:r w:rsidRPr="003D09FF">
        <w:rPr>
          <w:rFonts w:ascii="宋体" w:eastAsia="宋体" w:hAnsi="Times New Roman"/>
          <w:color w:val="000000"/>
        </w:rPr>
        <w:t>“</w:t>
      </w:r>
      <w:r w:rsidRPr="003D09FF">
        <w:rPr>
          <w:rFonts w:ascii="宋体" w:eastAsia="宋体" w:hAnsi="Times New Roman"/>
          <w:color w:val="000000"/>
        </w:rPr>
        <w:t>高度评价</w:t>
      </w:r>
      <w:r w:rsidRPr="003D09FF">
        <w:rPr>
          <w:rFonts w:ascii="宋体" w:eastAsia="宋体" w:hAnsi="Times New Roman"/>
          <w:color w:val="000000"/>
        </w:rPr>
        <w:t>”</w:t>
      </w:r>
      <w:r w:rsidRPr="003D09FF">
        <w:rPr>
          <w:rFonts w:ascii="宋体" w:eastAsia="宋体" w:hAnsi="Times New Roman"/>
          <w:color w:val="000000"/>
        </w:rPr>
        <w:t xml:space="preserve">。 </w:t>
      </w:r>
    </w:p>
    <w:sectPr w:rsidR="00A46A04" w:rsidRPr="003D09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D70"/>
    <w:multiLevelType w:val="singleLevel"/>
    <w:tmpl w:val="2580ED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41C94"/>
    <w:multiLevelType w:val="singleLevel"/>
    <w:tmpl w:val="FF9457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297129"/>
    <w:multiLevelType w:val="singleLevel"/>
    <w:tmpl w:val="05ACFD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B43A49"/>
    <w:multiLevelType w:val="singleLevel"/>
    <w:tmpl w:val="07AA6C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3761C1"/>
    <w:multiLevelType w:val="singleLevel"/>
    <w:tmpl w:val="A9BE8E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6A170B"/>
    <w:multiLevelType w:val="singleLevel"/>
    <w:tmpl w:val="D33AFA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2F006D"/>
    <w:multiLevelType w:val="singleLevel"/>
    <w:tmpl w:val="C628A0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4D6774"/>
    <w:multiLevelType w:val="singleLevel"/>
    <w:tmpl w:val="C6F647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E917D3"/>
    <w:multiLevelType w:val="singleLevel"/>
    <w:tmpl w:val="0F6027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0B296C"/>
    <w:multiLevelType w:val="singleLevel"/>
    <w:tmpl w:val="65D869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BB26E0"/>
    <w:multiLevelType w:val="singleLevel"/>
    <w:tmpl w:val="149039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CB0F05"/>
    <w:multiLevelType w:val="singleLevel"/>
    <w:tmpl w:val="D396AB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54145C"/>
    <w:multiLevelType w:val="singleLevel"/>
    <w:tmpl w:val="0930DF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237E43"/>
    <w:multiLevelType w:val="singleLevel"/>
    <w:tmpl w:val="C700C4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B9259B"/>
    <w:multiLevelType w:val="singleLevel"/>
    <w:tmpl w:val="0930DF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815285"/>
    <w:multiLevelType w:val="singleLevel"/>
    <w:tmpl w:val="D36C57C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CF624F"/>
    <w:multiLevelType w:val="singleLevel"/>
    <w:tmpl w:val="44E0D7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B65656"/>
    <w:multiLevelType w:val="singleLevel"/>
    <w:tmpl w:val="CADE20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471307"/>
    <w:multiLevelType w:val="singleLevel"/>
    <w:tmpl w:val="D06424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5D4E24"/>
    <w:multiLevelType w:val="singleLevel"/>
    <w:tmpl w:val="2C24A6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FC7013"/>
    <w:multiLevelType w:val="singleLevel"/>
    <w:tmpl w:val="0C8806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C963B8"/>
    <w:multiLevelType w:val="singleLevel"/>
    <w:tmpl w:val="0EE258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9763EC"/>
    <w:multiLevelType w:val="singleLevel"/>
    <w:tmpl w:val="B8C01B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BF17FA"/>
    <w:multiLevelType w:val="singleLevel"/>
    <w:tmpl w:val="F530BE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5335CB"/>
    <w:multiLevelType w:val="singleLevel"/>
    <w:tmpl w:val="3A868E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9F7F72"/>
    <w:multiLevelType w:val="singleLevel"/>
    <w:tmpl w:val="D64EE50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1"/>
  </w:num>
  <w:num w:numId="4">
    <w:abstractNumId w:val="7"/>
  </w:num>
  <w:num w:numId="5">
    <w:abstractNumId w:val="11"/>
  </w:num>
  <w:num w:numId="6">
    <w:abstractNumId w:val="5"/>
  </w:num>
  <w:num w:numId="7">
    <w:abstractNumId w:val="9"/>
  </w:num>
  <w:num w:numId="8">
    <w:abstractNumId w:val="19"/>
  </w:num>
  <w:num w:numId="9">
    <w:abstractNumId w:val="25"/>
  </w:num>
  <w:num w:numId="10">
    <w:abstractNumId w:val="3"/>
  </w:num>
  <w:num w:numId="11">
    <w:abstractNumId w:val="17"/>
  </w:num>
  <w:num w:numId="12">
    <w:abstractNumId w:val="26"/>
  </w:num>
  <w:num w:numId="13">
    <w:abstractNumId w:val="27"/>
  </w:num>
  <w:num w:numId="14">
    <w:abstractNumId w:val="8"/>
  </w:num>
  <w:num w:numId="15">
    <w:abstractNumId w:val="24"/>
  </w:num>
  <w:num w:numId="16">
    <w:abstractNumId w:val="0"/>
  </w:num>
  <w:num w:numId="17">
    <w:abstractNumId w:val="14"/>
  </w:num>
  <w:num w:numId="18">
    <w:abstractNumId w:val="22"/>
  </w:num>
  <w:num w:numId="19">
    <w:abstractNumId w:val="6"/>
  </w:num>
  <w:num w:numId="20">
    <w:abstractNumId w:val="20"/>
  </w:num>
  <w:num w:numId="21">
    <w:abstractNumId w:val="2"/>
  </w:num>
  <w:num w:numId="22">
    <w:abstractNumId w:val="23"/>
  </w:num>
  <w:num w:numId="23">
    <w:abstractNumId w:val="21"/>
  </w:num>
  <w:num w:numId="24">
    <w:abstractNumId w:val="4"/>
  </w:num>
  <w:num w:numId="25">
    <w:abstractNumId w:val="10"/>
  </w:num>
  <w:num w:numId="26">
    <w:abstractNumId w:val="18"/>
  </w:num>
  <w:num w:numId="27">
    <w:abstractNumId w:val="12"/>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09FF"/>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D09FF"/>
    <w:pPr>
      <w:spacing w:after="120"/>
    </w:pPr>
  </w:style>
  <w:style w:type="character" w:customStyle="1" w:styleId="af6">
    <w:name w:val="正文文本 字符"/>
    <w:basedOn w:val="a0"/>
    <w:link w:val="af5"/>
    <w:uiPriority w:val="99"/>
    <w:rsid w:val="003D09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98D7B-5503-4BFA-B4E2-3F7AEAD7E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1619</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2026-07-09T22:09:00Z</dcterms:created>
  <dcterms:modified xsi:type="dcterms:W3CDTF">2026-07-09T22:09:00Z</dcterms:modified>
</cp:coreProperties>
</file>