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F7074B" w:rsidR="0049405C" w:rsidRPr="00187BAA" w:rsidRDefault="00A82303" w:rsidP="00A82303">
            <w:pPr>
              <w:spacing w:line="720" w:lineRule="auto"/>
              <w:rPr>
                <w:rFonts w:ascii="宋体" w:eastAsia="宋体" w:hAnsi="宋体"/>
                <w:color w:val="545551"/>
              </w:rPr>
            </w:pPr>
            <w:bookmarkStart w:id="0" w:name="xingming"/>
            <w:bookmarkStart w:id="1" w:name="_GoBack"/>
            <w:bookmarkEnd w:id="1"/>
            <w:r w:rsidRPr="00A82303">
              <w:rPr>
                <w:rFonts w:ascii="宋体" w:eastAsia="宋体" w:hAnsi="Times New Roman" w:hint="eastAsia"/>
                <w:b/>
                <w:color w:val="000000"/>
                <w:sz w:val="48"/>
              </w:rPr>
              <w:t>何宁</w:t>
            </w:r>
            <w:bookmarkEnd w:id="0"/>
          </w:p>
          <w:p w14:paraId="706EB16B" w14:textId="11DF7AD3" w:rsidR="0049405C" w:rsidRPr="00187BAA" w:rsidRDefault="00A82303" w:rsidP="00A82303">
            <w:pPr>
              <w:spacing w:line="360" w:lineRule="auto"/>
              <w:rPr>
                <w:rFonts w:ascii="宋体" w:eastAsia="宋体" w:hAnsi="宋体"/>
                <w:b/>
                <w:bCs/>
                <w:color w:val="545551"/>
              </w:rPr>
            </w:pPr>
            <w:bookmarkStart w:id="2" w:name="didian"/>
            <w:r w:rsidRPr="00A82303">
              <w:rPr>
                <w:rFonts w:ascii="宋体" w:eastAsia="宋体" w:hAnsi="Times New Roman" w:hint="eastAsia"/>
                <w:b/>
                <w:bCs/>
                <w:color w:val="000000"/>
              </w:rPr>
              <w:t>合伙人·上海</w:t>
            </w:r>
            <w:bookmarkEnd w:id="2"/>
          </w:p>
          <w:p w14:paraId="6199424A" w14:textId="4577BB6E" w:rsidR="0049405C" w:rsidRPr="00187BAA" w:rsidRDefault="00A82303" w:rsidP="00A82303">
            <w:pPr>
              <w:spacing w:line="360" w:lineRule="auto"/>
              <w:rPr>
                <w:rFonts w:ascii="宋体" w:eastAsia="宋体" w:hAnsi="宋体"/>
                <w:color w:val="545551"/>
              </w:rPr>
            </w:pPr>
            <w:bookmarkStart w:id="3" w:name="dianhua"/>
            <w:r w:rsidRPr="00A82303">
              <w:rPr>
                <w:rFonts w:ascii="宋体" w:eastAsia="宋体" w:hAnsi="Times New Roman"/>
                <w:color w:val="000000"/>
              </w:rPr>
              <w:t xml:space="preserve">+86 21 2208 1185 </w:t>
            </w:r>
            <w:bookmarkEnd w:id="3"/>
          </w:p>
          <w:p w14:paraId="4F910ACA" w14:textId="1D5E4F71" w:rsidR="0049405C" w:rsidRPr="00187BAA" w:rsidRDefault="00A82303" w:rsidP="00A82303">
            <w:pPr>
              <w:spacing w:line="360" w:lineRule="auto"/>
              <w:rPr>
                <w:rFonts w:ascii="宋体" w:eastAsia="宋体" w:hAnsi="宋体"/>
                <w:color w:val="000000"/>
              </w:rPr>
            </w:pPr>
            <w:bookmarkStart w:id="4" w:name="youxiang"/>
            <w:r w:rsidRPr="00A82303">
              <w:rPr>
                <w:rFonts w:ascii="宋体" w:eastAsia="宋体" w:hAnsi="Times New Roman"/>
                <w:color w:val="000000"/>
              </w:rPr>
              <w:t>henry.he@fangdalaw.com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506B9B" w:rsidR="0049405C" w:rsidRPr="00187BAA" w:rsidRDefault="00A8230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13D0F3F" wp14:editId="1618A80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A5A74D" w:rsidR="009465FB" w:rsidRPr="00187BAA" w:rsidRDefault="00A82303" w:rsidP="007177F3">
            <w:pPr>
              <w:rPr>
                <w:rFonts w:ascii="宋体" w:eastAsia="宋体" w:hAnsi="宋体"/>
                <w:color w:val="000000"/>
                <w:szCs w:val="21"/>
              </w:rPr>
            </w:pPr>
            <w:bookmarkStart w:id="6" w:name="zhiyelingyu"/>
            <w:r w:rsidRPr="00A82303">
              <w:rPr>
                <w:rFonts w:ascii="宋体" w:eastAsia="宋体" w:hAnsi="Times New Roman" w:hint="eastAsia"/>
                <w:color w:val="000000"/>
                <w:szCs w:val="21"/>
              </w:rPr>
              <w:t>何宁律师专长于涉及复杂业务、知识产权、运营和法律问题的跨境生命科学交易，包括战略合作、产品和技术许可</w:t>
            </w:r>
            <w:r w:rsidRPr="00A82303">
              <w:rPr>
                <w:rFonts w:ascii="宋体" w:eastAsia="宋体" w:hAnsi="Times New Roman"/>
                <w:color w:val="000000"/>
                <w:szCs w:val="21"/>
              </w:rPr>
              <w:t>(引进/授出)、资产收购和剥离、平台发现和选择权交易。此外，何律师还为生命科学领域的客户就涉及临床试验、监管合规、药品供应和推广、研究和商业化合作等日常运营事宜提供法律服务。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13F01B" w14:textId="77777777" w:rsidR="00A8230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CE2E01"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近期代理的主要案件</w:t>
      </w:r>
    </w:p>
    <w:p w14:paraId="3F410DA5" w14:textId="77777777" w:rsidR="00A82303" w:rsidRDefault="00A82303" w:rsidP="00A82303">
      <w:pPr>
        <w:pStyle w:val="af5"/>
        <w:spacing w:before="120"/>
        <w:rPr>
          <w:rFonts w:ascii="宋体" w:eastAsia="宋体" w:hAnsi="Times New Roman"/>
          <w:color w:val="000000"/>
        </w:rPr>
      </w:pPr>
      <w:r w:rsidRPr="00A82303">
        <w:rPr>
          <w:rFonts w:ascii="宋体" w:eastAsia="宋体" w:hAnsi="Times New Roman" w:hint="eastAsia"/>
          <w:color w:val="000000"/>
        </w:rPr>
        <w:t>许可交易与公司合作</w:t>
      </w:r>
    </w:p>
    <w:p w14:paraId="32C7CC29" w14:textId="77777777" w:rsidR="00A82303" w:rsidRDefault="00A82303" w:rsidP="00A82303">
      <w:pPr>
        <w:pStyle w:val="af5"/>
        <w:numPr>
          <w:ilvl w:val="0"/>
          <w:numId w:val="1"/>
        </w:numPr>
        <w:spacing w:before="120"/>
        <w:ind w:left="690" w:hanging="240"/>
        <w:rPr>
          <w:rFonts w:ascii="宋体" w:eastAsia="宋体" w:hAnsi="Times New Roman"/>
          <w:color w:val="000000"/>
        </w:rPr>
      </w:pPr>
      <w:r w:rsidRPr="00A82303">
        <w:rPr>
          <w:rFonts w:ascii="宋体" w:eastAsia="宋体" w:hAnsi="Times New Roman" w:hint="eastAsia"/>
          <w:color w:val="000000"/>
        </w:rPr>
        <w:t>代表泽璟制药就其临床阶段</w:t>
      </w:r>
      <w:r w:rsidRPr="00A82303">
        <w:rPr>
          <w:rFonts w:ascii="宋体" w:eastAsia="宋体" w:hAnsi="Times New Roman"/>
          <w:color w:val="000000"/>
        </w:rPr>
        <w:t>DLL3/DLL3/CD3三特异性T细胞结合剂ZG006的全球开发和商业化权益与艾伯维达成战略合作与许可选择权协议。根据协议条款，泽璟将获得1亿美元首付款、最高6,000万美元近期里程碑付款和与选择权相关付款；如艾伯维行使许可选择权，泽璟有资格获得最高达10.75亿美元的里程碑付款，并收取从高个位数到中双位数的阶梯式特许权使用费。</w:t>
      </w:r>
    </w:p>
    <w:p w14:paraId="6D5FFCAD" w14:textId="77777777" w:rsidR="00A82303" w:rsidRDefault="00A82303" w:rsidP="00A82303">
      <w:pPr>
        <w:pStyle w:val="af5"/>
        <w:numPr>
          <w:ilvl w:val="0"/>
          <w:numId w:val="2"/>
        </w:numPr>
        <w:spacing w:before="120"/>
        <w:ind w:left="690" w:hanging="240"/>
        <w:rPr>
          <w:rFonts w:ascii="宋体" w:eastAsia="宋体" w:hAnsi="Times New Roman"/>
          <w:color w:val="000000"/>
        </w:rPr>
      </w:pPr>
      <w:r w:rsidRPr="00A82303">
        <w:rPr>
          <w:rFonts w:ascii="宋体" w:eastAsia="宋体" w:hAnsi="Times New Roman" w:hint="eastAsia"/>
          <w:color w:val="000000"/>
        </w:rPr>
        <w:t>代表荃信生物，一家专注于早研、开发和生产创新药物的港股上市生物药企</w:t>
      </w:r>
      <w:r w:rsidRPr="00A82303">
        <w:rPr>
          <w:rFonts w:ascii="宋体" w:eastAsia="宋体" w:hAnsi="Times New Roman"/>
          <w:color w:val="000000"/>
        </w:rPr>
        <w:t>(2509.HK)，完成多项交易：</w:t>
      </w:r>
    </w:p>
    <w:p w14:paraId="76E796E1" w14:textId="77777777" w:rsidR="00A82303" w:rsidRDefault="00A82303" w:rsidP="00A82303">
      <w:pPr>
        <w:pStyle w:val="af5"/>
        <w:numPr>
          <w:ilvl w:val="0"/>
          <w:numId w:val="3"/>
        </w:numPr>
        <w:spacing w:before="120"/>
        <w:ind w:left="690" w:hanging="240"/>
        <w:rPr>
          <w:rFonts w:ascii="宋体" w:eastAsia="宋体" w:hAnsi="Times New Roman"/>
          <w:color w:val="000000"/>
        </w:rPr>
      </w:pPr>
      <w:r w:rsidRPr="00A82303">
        <w:rPr>
          <w:rFonts w:ascii="宋体" w:eastAsia="宋体" w:hAnsi="Times New Roman" w:hint="eastAsia"/>
          <w:color w:val="000000"/>
        </w:rPr>
        <w:t>与罗氏就临床前阶段长效</w:t>
      </w:r>
      <w:r w:rsidRPr="00A82303">
        <w:rPr>
          <w:rFonts w:ascii="宋体" w:eastAsia="宋体" w:hAnsi="Times New Roman"/>
          <w:color w:val="000000"/>
        </w:rPr>
        <w:t>TSLP/IL-33双特异性抗体管线QX031N的全球开发、生产和商业化权益达成独家授权和许可协议。根据协议条款，荃信生物将获得7,500万美元的首付款，并有资格获得与产品开发、监管批准及商业化相关的至多9.95亿美元的里程碑付款，以及潜在未来产品销售的梯度特许权使用费。</w:t>
      </w:r>
    </w:p>
    <w:p w14:paraId="5E2E19C9" w14:textId="77777777" w:rsidR="00A82303" w:rsidRDefault="00A82303" w:rsidP="00A82303">
      <w:pPr>
        <w:pStyle w:val="af5"/>
        <w:numPr>
          <w:ilvl w:val="0"/>
          <w:numId w:val="4"/>
        </w:numPr>
        <w:spacing w:before="120"/>
        <w:ind w:left="690" w:hanging="240"/>
        <w:rPr>
          <w:rFonts w:ascii="宋体" w:eastAsia="宋体" w:hAnsi="Times New Roman"/>
          <w:color w:val="000000"/>
        </w:rPr>
      </w:pPr>
      <w:r w:rsidRPr="00A82303">
        <w:rPr>
          <w:rFonts w:ascii="宋体" w:eastAsia="宋体" w:hAnsi="Times New Roman" w:hint="eastAsia"/>
          <w:color w:val="000000"/>
        </w:rPr>
        <w:t>与</w:t>
      </w:r>
      <w:r w:rsidRPr="00A82303">
        <w:rPr>
          <w:rFonts w:ascii="宋体" w:eastAsia="宋体" w:hAnsi="Times New Roman"/>
          <w:color w:val="000000"/>
        </w:rPr>
        <w:t>Caldera Therapeutics (NewCo，由知名投资人Lilly Asia Ventures、Atlas Venture及venBio共同创立) 就QX030N(一款自身免疫疾病领域双抗药物)的开发、生产与商业化权益达成全球独家许可并获取Caldera Therapeutics少数股权。</w:t>
      </w:r>
    </w:p>
    <w:p w14:paraId="480C5074" w14:textId="77777777" w:rsidR="00A82303" w:rsidRDefault="00A82303" w:rsidP="00A82303">
      <w:pPr>
        <w:pStyle w:val="af5"/>
        <w:numPr>
          <w:ilvl w:val="0"/>
          <w:numId w:val="5"/>
        </w:numPr>
        <w:spacing w:before="120"/>
        <w:ind w:left="690" w:hanging="240"/>
        <w:rPr>
          <w:rFonts w:ascii="宋体" w:eastAsia="宋体" w:hAnsi="Times New Roman"/>
          <w:color w:val="000000"/>
        </w:rPr>
      </w:pPr>
      <w:r w:rsidRPr="00A82303">
        <w:rPr>
          <w:rFonts w:ascii="宋体" w:eastAsia="宋体" w:hAnsi="Times New Roman" w:hint="eastAsia"/>
          <w:color w:val="000000"/>
        </w:rPr>
        <w:t>与</w:t>
      </w:r>
      <w:r w:rsidRPr="00A82303">
        <w:rPr>
          <w:rFonts w:ascii="宋体" w:eastAsia="宋体" w:hAnsi="Times New Roman"/>
          <w:color w:val="000000"/>
        </w:rPr>
        <w:t>Windward Bio就临床阶段长效TSLP/IL-13双特异性抗体管线QX027N的全球（不包括大中华区）开发、生产和商业化权益达成许可合作协议，根据协议条款，荃信生物将获得最高7亿美元的款项，包括首付款、Windward Bio的股权、开发及商业里程碑付款，此外，公司还有权根据QX027N在许可地区的销售净额收取分级特许权使用费。</w:t>
      </w:r>
    </w:p>
    <w:p w14:paraId="4A4135DF" w14:textId="77777777" w:rsidR="00A82303" w:rsidRDefault="00A82303" w:rsidP="00A82303">
      <w:pPr>
        <w:pStyle w:val="af5"/>
        <w:numPr>
          <w:ilvl w:val="0"/>
          <w:numId w:val="6"/>
        </w:numPr>
        <w:spacing w:before="120"/>
        <w:ind w:left="690" w:hanging="240"/>
        <w:rPr>
          <w:rFonts w:ascii="宋体" w:eastAsia="宋体" w:hAnsi="Times New Roman"/>
          <w:color w:val="000000"/>
        </w:rPr>
      </w:pPr>
      <w:r w:rsidRPr="00A82303">
        <w:rPr>
          <w:rFonts w:ascii="宋体" w:eastAsia="宋体" w:hAnsi="Times New Roman" w:hint="eastAsia"/>
          <w:color w:val="000000"/>
        </w:rPr>
        <w:t>代表勃林格殷格翰与先声药业就临床前阶段</w:t>
      </w:r>
      <w:r w:rsidRPr="00A82303">
        <w:rPr>
          <w:rFonts w:ascii="宋体" w:eastAsia="宋体" w:hAnsi="Times New Roman"/>
          <w:color w:val="000000"/>
        </w:rPr>
        <w:t>TL1A/IL23p19双特异性抗体管线SIM0709的全球(除大中华区外)开发、生产和商业化权益达成许可与合作协议。</w:t>
      </w:r>
    </w:p>
    <w:p w14:paraId="01A8D77A" w14:textId="77777777" w:rsidR="00A82303" w:rsidRDefault="00A82303" w:rsidP="00A82303">
      <w:pPr>
        <w:pStyle w:val="af5"/>
        <w:numPr>
          <w:ilvl w:val="0"/>
          <w:numId w:val="7"/>
        </w:numPr>
        <w:spacing w:before="120"/>
        <w:ind w:left="690" w:hanging="240"/>
        <w:rPr>
          <w:rFonts w:ascii="宋体" w:eastAsia="宋体" w:hAnsi="Times New Roman"/>
          <w:color w:val="000000"/>
        </w:rPr>
      </w:pPr>
      <w:r w:rsidRPr="00A82303">
        <w:rPr>
          <w:rFonts w:ascii="宋体" w:eastAsia="宋体" w:hAnsi="Times New Roman" w:hint="eastAsia"/>
          <w:color w:val="000000"/>
        </w:rPr>
        <w:t>代表希华医药就首创</w:t>
      </w:r>
      <w:r w:rsidRPr="00A82303">
        <w:rPr>
          <w:rFonts w:ascii="宋体" w:eastAsia="宋体" w:hAnsi="Times New Roman"/>
          <w:color w:val="000000"/>
        </w:rPr>
        <w:t>P-糖蛋白(P-gp)抑制剂Encequidar与吉利德科学达成病毒学领域的全球独家授权和合作协议。</w:t>
      </w:r>
    </w:p>
    <w:p w14:paraId="0EAEDC33" w14:textId="77777777" w:rsidR="00A82303" w:rsidRDefault="00A82303" w:rsidP="00A82303">
      <w:pPr>
        <w:pStyle w:val="af5"/>
        <w:numPr>
          <w:ilvl w:val="0"/>
          <w:numId w:val="8"/>
        </w:numPr>
        <w:spacing w:before="120"/>
        <w:ind w:left="690" w:hanging="240"/>
        <w:rPr>
          <w:rFonts w:ascii="宋体" w:eastAsia="宋体" w:hAnsi="Times New Roman"/>
          <w:color w:val="000000"/>
        </w:rPr>
      </w:pPr>
      <w:r w:rsidRPr="00A82303">
        <w:rPr>
          <w:rFonts w:ascii="宋体" w:eastAsia="宋体" w:hAnsi="Times New Roman" w:hint="eastAsia"/>
          <w:color w:val="000000"/>
        </w:rPr>
        <w:t>代表智翔金泰</w:t>
      </w:r>
      <w:r w:rsidRPr="00A82303">
        <w:rPr>
          <w:rFonts w:ascii="宋体" w:eastAsia="宋体" w:hAnsi="Times New Roman"/>
          <w:color w:val="000000"/>
        </w:rPr>
        <w:t>(688443.SH) 就其向Cullinan Therapeutics (CGEM.Nasdaq)授予其在大中华区以外市场开发、生产及商业化智翔金泰抗BCMA</w:t>
      </w:r>
      <w:r w:rsidRPr="00A82303">
        <w:rPr>
          <w:rFonts w:ascii="宋体" w:eastAsia="宋体" w:hAnsi="Times New Roman"/>
          <w:color w:val="000000"/>
        </w:rPr>
        <w:t>×</w:t>
      </w:r>
      <w:r w:rsidRPr="00A82303">
        <w:rPr>
          <w:rFonts w:ascii="宋体" w:eastAsia="宋体" w:hAnsi="Times New Roman"/>
          <w:color w:val="000000"/>
        </w:rPr>
        <w:t>CD3双特异性抗体GR1803注射液(Velinotamig)的独家许可权益提供法律服务。</w:t>
      </w:r>
    </w:p>
    <w:p w14:paraId="2125D745" w14:textId="77777777" w:rsidR="00A82303" w:rsidRDefault="00A82303" w:rsidP="00A82303">
      <w:pPr>
        <w:pStyle w:val="af5"/>
        <w:numPr>
          <w:ilvl w:val="0"/>
          <w:numId w:val="9"/>
        </w:numPr>
        <w:spacing w:before="120"/>
        <w:ind w:left="690" w:hanging="240"/>
        <w:rPr>
          <w:rFonts w:ascii="宋体" w:eastAsia="宋体" w:hAnsi="Times New Roman"/>
          <w:color w:val="000000"/>
        </w:rPr>
      </w:pPr>
      <w:r w:rsidRPr="00A82303">
        <w:rPr>
          <w:rFonts w:ascii="宋体" w:eastAsia="宋体" w:hAnsi="Times New Roman" w:hint="eastAsia"/>
          <w:color w:val="000000"/>
        </w:rPr>
        <w:t>代表天境生物与渤健达成许可战略合作，渤健获得菲泽妥单抗（一款靶向</w:t>
      </w:r>
      <w:r w:rsidRPr="00A82303">
        <w:rPr>
          <w:rFonts w:ascii="宋体" w:eastAsia="宋体" w:hAnsi="Times New Roman"/>
          <w:color w:val="000000"/>
        </w:rPr>
        <w:t>CD38蛋白的在研人源单克隆抗体）的大中华区独家权益。根据协议条款，天境生物将获得1亿美元首付款，以及最高达7.5亿美元的潜在商业化与销售里程碑付款，此外还将根据未来在大中华区的净销售额获得中个位数至低两位数比例的销售分成。</w:t>
      </w:r>
    </w:p>
    <w:p w14:paraId="07123CF7" w14:textId="77777777" w:rsidR="00A82303" w:rsidRDefault="00A82303" w:rsidP="00A82303">
      <w:pPr>
        <w:pStyle w:val="af5"/>
        <w:numPr>
          <w:ilvl w:val="0"/>
          <w:numId w:val="10"/>
        </w:numPr>
        <w:spacing w:before="120"/>
        <w:ind w:left="690" w:hanging="240"/>
        <w:rPr>
          <w:rFonts w:ascii="宋体" w:eastAsia="宋体" w:hAnsi="Times New Roman"/>
          <w:color w:val="000000"/>
        </w:rPr>
      </w:pPr>
      <w:r w:rsidRPr="00A82303">
        <w:rPr>
          <w:rFonts w:ascii="宋体" w:eastAsia="宋体" w:hAnsi="Times New Roman" w:hint="eastAsia"/>
          <w:color w:val="000000"/>
        </w:rPr>
        <w:t>代表天境生物与赛诺菲达成许可战略合作，用以在大中华区开发、生产和商业化天境生物自主研发的全球创新</w:t>
      </w:r>
      <w:r w:rsidRPr="00A82303">
        <w:rPr>
          <w:rFonts w:ascii="宋体" w:eastAsia="宋体" w:hAnsi="Times New Roman"/>
          <w:color w:val="000000"/>
        </w:rPr>
        <w:t>CD73抗体尤莱利单抗(Uliledlimab)。</w:t>
      </w:r>
    </w:p>
    <w:p w14:paraId="1BD7045F" w14:textId="77777777" w:rsidR="00A82303" w:rsidRDefault="00A82303" w:rsidP="00A82303">
      <w:pPr>
        <w:pStyle w:val="af5"/>
        <w:numPr>
          <w:ilvl w:val="0"/>
          <w:numId w:val="11"/>
        </w:numPr>
        <w:spacing w:before="120"/>
        <w:ind w:left="690" w:hanging="240"/>
        <w:rPr>
          <w:rFonts w:ascii="宋体" w:eastAsia="宋体" w:hAnsi="Times New Roman"/>
          <w:color w:val="000000"/>
        </w:rPr>
      </w:pPr>
      <w:r w:rsidRPr="00A82303">
        <w:rPr>
          <w:rFonts w:ascii="宋体" w:eastAsia="宋体" w:hAnsi="Times New Roman" w:hint="eastAsia"/>
          <w:color w:val="000000"/>
        </w:rPr>
        <w:t>代表礼新医药将其新型在研</w:t>
      </w:r>
      <w:r w:rsidRPr="00A82303">
        <w:rPr>
          <w:rFonts w:ascii="宋体" w:eastAsia="宋体" w:hAnsi="Times New Roman"/>
          <w:color w:val="000000"/>
        </w:rPr>
        <w:t>PD-1/VEGF双特异性抗体LM-299的全球开发、生产和商业化权益独家授权许可给默沙东提供法律服务，包括处理上游许可协议安排。根据协议条款，礼新医药将获得5.88亿美元的首付款，并基于LM-299多项适应证的进展将获得最高27亿美元的里程碑付款。</w:t>
      </w:r>
    </w:p>
    <w:p w14:paraId="4B15BB8E" w14:textId="77777777" w:rsidR="00A82303" w:rsidRDefault="00A82303" w:rsidP="00A82303">
      <w:pPr>
        <w:pStyle w:val="af5"/>
        <w:numPr>
          <w:ilvl w:val="0"/>
          <w:numId w:val="12"/>
        </w:numPr>
        <w:spacing w:before="120"/>
        <w:ind w:left="690" w:hanging="240"/>
        <w:rPr>
          <w:rFonts w:ascii="宋体" w:eastAsia="宋体" w:hAnsi="Times New Roman"/>
          <w:color w:val="000000"/>
        </w:rPr>
      </w:pPr>
      <w:r w:rsidRPr="00A82303">
        <w:rPr>
          <w:rFonts w:ascii="宋体" w:eastAsia="宋体" w:hAnsi="Times New Roman" w:hint="eastAsia"/>
          <w:color w:val="000000"/>
        </w:rPr>
        <w:t>代表翰森制药</w:t>
      </w:r>
      <w:r w:rsidRPr="00A82303">
        <w:rPr>
          <w:rFonts w:ascii="宋体" w:eastAsia="宋体" w:hAnsi="Times New Roman"/>
          <w:color w:val="000000"/>
        </w:rPr>
        <w:t>(3692.HK)与Tortugas Neuroscience (NewCo，由知名投资人Cure Ventures及The Column Group共同创立) 就多款中枢神经系统疾病药物疗法的海外开发、生产与商业化权益达成独家许可并获取Tortugas Neuroscience少数股权。</w:t>
      </w:r>
    </w:p>
    <w:p w14:paraId="68DBFA51" w14:textId="77777777" w:rsidR="00A82303" w:rsidRDefault="00A82303" w:rsidP="00A82303">
      <w:pPr>
        <w:pStyle w:val="af5"/>
        <w:numPr>
          <w:ilvl w:val="0"/>
          <w:numId w:val="13"/>
        </w:numPr>
        <w:spacing w:before="120"/>
        <w:ind w:left="690" w:hanging="240"/>
        <w:rPr>
          <w:rFonts w:ascii="宋体" w:eastAsia="宋体" w:hAnsi="Times New Roman"/>
          <w:color w:val="000000"/>
        </w:rPr>
      </w:pPr>
      <w:r w:rsidRPr="00A82303">
        <w:rPr>
          <w:rFonts w:ascii="宋体" w:eastAsia="宋体" w:hAnsi="Times New Roman" w:hint="eastAsia"/>
          <w:color w:val="000000"/>
        </w:rPr>
        <w:t>代表艾科联生物完成境外新设架构搭建、</w:t>
      </w:r>
      <w:r w:rsidRPr="00A82303">
        <w:rPr>
          <w:rFonts w:ascii="宋体" w:eastAsia="宋体" w:hAnsi="Times New Roman"/>
          <w:color w:val="000000"/>
        </w:rPr>
        <w:t>A轮优先股融资（由知名投资人红杉资本、元生创投和杏泽资本联合领投），以及与乐普生物(2157.HK)就两项多特异性抗体T细胞衔接器药物管线CTM012和CTM013的独家开发及商业化权益达成全球许可。</w:t>
      </w:r>
    </w:p>
    <w:p w14:paraId="5E5F8D9C" w14:textId="77777777" w:rsidR="00A82303" w:rsidRDefault="00A82303" w:rsidP="00A82303">
      <w:pPr>
        <w:pStyle w:val="af5"/>
        <w:numPr>
          <w:ilvl w:val="0"/>
          <w:numId w:val="14"/>
        </w:numPr>
        <w:spacing w:before="120"/>
        <w:ind w:left="690" w:hanging="240"/>
        <w:rPr>
          <w:rFonts w:ascii="宋体" w:eastAsia="宋体" w:hAnsi="Times New Roman"/>
          <w:color w:val="000000"/>
        </w:rPr>
      </w:pPr>
      <w:r w:rsidRPr="00A82303">
        <w:rPr>
          <w:rFonts w:ascii="宋体" w:eastAsia="宋体" w:hAnsi="Times New Roman" w:hint="eastAsia"/>
          <w:color w:val="000000"/>
        </w:rPr>
        <w:t>代表康华生物</w:t>
      </w:r>
      <w:r w:rsidRPr="00A82303">
        <w:rPr>
          <w:rFonts w:ascii="宋体" w:eastAsia="宋体" w:hAnsi="Times New Roman" w:hint="eastAsia"/>
          <w:color w:val="000000"/>
        </w:rPr>
        <w:t> </w:t>
      </w:r>
      <w:r w:rsidRPr="00A82303">
        <w:rPr>
          <w:rFonts w:ascii="宋体" w:eastAsia="宋体" w:hAnsi="Times New Roman"/>
          <w:color w:val="000000"/>
        </w:rPr>
        <w:t>(300841.SZ) 就其向HilleVax</w:t>
      </w:r>
      <w:r w:rsidRPr="00A82303">
        <w:rPr>
          <w:rFonts w:ascii="宋体" w:eastAsia="宋体" w:hAnsi="Times New Roman"/>
          <w:color w:val="000000"/>
        </w:rPr>
        <w:t> </w:t>
      </w:r>
      <w:r w:rsidRPr="00A82303">
        <w:rPr>
          <w:rFonts w:ascii="宋体" w:eastAsia="宋体" w:hAnsi="Times New Roman"/>
          <w:color w:val="000000"/>
        </w:rPr>
        <w:t>(HLVX.Nasdaq) 授予其在大中华区以外市场开发、生产及商业化重组六价诺如病毒疫苗的独家许可权益提供法律服务。</w:t>
      </w:r>
    </w:p>
    <w:p w14:paraId="7FA16F3A" w14:textId="77777777" w:rsidR="00A82303" w:rsidRDefault="00A82303" w:rsidP="00A82303">
      <w:pPr>
        <w:pStyle w:val="af5"/>
        <w:numPr>
          <w:ilvl w:val="0"/>
          <w:numId w:val="15"/>
        </w:numPr>
        <w:spacing w:before="120"/>
        <w:ind w:left="690" w:hanging="240"/>
        <w:rPr>
          <w:rFonts w:ascii="宋体" w:eastAsia="宋体" w:hAnsi="Times New Roman"/>
          <w:color w:val="000000"/>
        </w:rPr>
      </w:pPr>
      <w:r w:rsidRPr="00A82303">
        <w:rPr>
          <w:rFonts w:ascii="宋体" w:eastAsia="宋体" w:hAnsi="Times New Roman" w:hint="eastAsia"/>
          <w:color w:val="000000"/>
        </w:rPr>
        <w:t>代表翱路医药与</w:t>
      </w:r>
      <w:r w:rsidRPr="00A82303">
        <w:rPr>
          <w:rFonts w:ascii="宋体" w:eastAsia="宋体" w:hAnsi="Times New Roman"/>
          <w:color w:val="000000"/>
        </w:rPr>
        <w:t>Zealand Pharma(ZEAL.US)达成多项目研发合作及许可协议，共同开发代谢疾病新疗法，总金额最高可达约25亿美元。</w:t>
      </w:r>
    </w:p>
    <w:p w14:paraId="119921C1" w14:textId="77777777" w:rsidR="00A82303" w:rsidRDefault="00A82303" w:rsidP="00A82303">
      <w:pPr>
        <w:pStyle w:val="af5"/>
        <w:numPr>
          <w:ilvl w:val="0"/>
          <w:numId w:val="16"/>
        </w:numPr>
        <w:spacing w:before="120"/>
        <w:ind w:left="690" w:hanging="240"/>
        <w:rPr>
          <w:rFonts w:ascii="宋体" w:eastAsia="宋体" w:hAnsi="Times New Roman"/>
          <w:color w:val="000000"/>
        </w:rPr>
      </w:pPr>
      <w:r w:rsidRPr="00A82303">
        <w:rPr>
          <w:rFonts w:ascii="宋体" w:eastAsia="宋体" w:hAnsi="Times New Roman" w:hint="eastAsia"/>
          <w:color w:val="000000"/>
        </w:rPr>
        <w:t>代表华奥泰生物与</w:t>
      </w:r>
      <w:r w:rsidRPr="00A82303">
        <w:rPr>
          <w:rFonts w:ascii="宋体" w:eastAsia="宋体" w:hAnsi="Times New Roman"/>
          <w:color w:val="000000"/>
        </w:rPr>
        <w:t>Almirall S.A.达成全球研究合作及许可协议，用于开发具有多种潜在适应症(包括医学皮肤科）的新靶点单克隆抗体候选药物。</w:t>
      </w:r>
    </w:p>
    <w:p w14:paraId="5DFC5143" w14:textId="77777777" w:rsidR="00A82303" w:rsidRDefault="00A82303" w:rsidP="00A82303">
      <w:pPr>
        <w:pStyle w:val="af5"/>
        <w:numPr>
          <w:ilvl w:val="0"/>
          <w:numId w:val="17"/>
        </w:numPr>
        <w:spacing w:before="120"/>
        <w:ind w:left="690" w:hanging="240"/>
        <w:rPr>
          <w:rFonts w:ascii="宋体" w:eastAsia="宋体" w:hAnsi="Times New Roman"/>
          <w:color w:val="000000"/>
        </w:rPr>
      </w:pPr>
      <w:r w:rsidRPr="00A82303">
        <w:rPr>
          <w:rFonts w:ascii="宋体" w:eastAsia="宋体" w:hAnsi="Times New Roman" w:hint="eastAsia"/>
          <w:color w:val="000000"/>
        </w:rPr>
        <w:t>代表因明生物就其一款</w:t>
      </w:r>
      <w:r w:rsidRPr="00A82303">
        <w:rPr>
          <w:rFonts w:ascii="宋体" w:eastAsia="宋体" w:hAnsi="Times New Roman"/>
          <w:color w:val="000000"/>
        </w:rPr>
        <w:t>JAK小分子抑制剂宠物药在大中华区的研发、生产和商业化权益授予Elanco Animal Health提供法律服务。</w:t>
      </w:r>
    </w:p>
    <w:p w14:paraId="42CF35B8" w14:textId="77777777" w:rsidR="00A82303" w:rsidRDefault="00A82303" w:rsidP="00A82303">
      <w:pPr>
        <w:pStyle w:val="af5"/>
        <w:numPr>
          <w:ilvl w:val="0"/>
          <w:numId w:val="18"/>
        </w:numPr>
        <w:spacing w:before="120"/>
        <w:ind w:left="690" w:hanging="240"/>
        <w:rPr>
          <w:rFonts w:ascii="宋体" w:eastAsia="宋体" w:hAnsi="Times New Roman"/>
          <w:color w:val="000000"/>
        </w:rPr>
      </w:pPr>
      <w:r w:rsidRPr="00A82303">
        <w:rPr>
          <w:rFonts w:ascii="宋体" w:eastAsia="宋体" w:hAnsi="Times New Roman" w:hint="eastAsia"/>
          <w:color w:val="000000"/>
        </w:rPr>
        <w:t>代表基石药业，一家专注于开发和商业化创新药物的港股上市生物药企</w:t>
      </w:r>
      <w:r w:rsidRPr="00A82303">
        <w:rPr>
          <w:rFonts w:ascii="宋体" w:eastAsia="宋体" w:hAnsi="Times New Roman"/>
          <w:color w:val="000000"/>
        </w:rPr>
        <w:t>(2616.HK)，完成多项交易：</w:t>
      </w:r>
    </w:p>
    <w:p w14:paraId="12FEDA0F" w14:textId="77777777" w:rsidR="00A82303" w:rsidRDefault="00A82303" w:rsidP="00A82303">
      <w:pPr>
        <w:pStyle w:val="af5"/>
        <w:numPr>
          <w:ilvl w:val="0"/>
          <w:numId w:val="19"/>
        </w:numPr>
        <w:spacing w:before="120"/>
        <w:ind w:left="690" w:hanging="240"/>
        <w:rPr>
          <w:rFonts w:ascii="宋体" w:eastAsia="宋体" w:hAnsi="Times New Roman"/>
          <w:color w:val="000000"/>
        </w:rPr>
      </w:pPr>
      <w:r w:rsidRPr="00A82303">
        <w:rPr>
          <w:rFonts w:ascii="宋体" w:eastAsia="宋体" w:hAnsi="Times New Roman" w:hint="eastAsia"/>
          <w:color w:val="000000"/>
        </w:rPr>
        <w:t>向施维雅</w:t>
      </w:r>
      <w:r w:rsidRPr="00A82303">
        <w:rPr>
          <w:rFonts w:ascii="宋体" w:eastAsia="宋体" w:hAnsi="Times New Roman"/>
          <w:color w:val="000000"/>
        </w:rPr>
        <w:t>(Servier)出售拓舒沃</w:t>
      </w:r>
      <w:r w:rsidRPr="00A82303">
        <w:rPr>
          <w:rFonts w:ascii="宋体" w:eastAsia="宋体" w:hAnsi="Times New Roman"/>
          <w:color w:val="000000"/>
        </w:rPr>
        <w:t>®</w:t>
      </w:r>
      <w:r w:rsidRPr="00A82303">
        <w:rPr>
          <w:rFonts w:ascii="宋体" w:eastAsia="宋体" w:hAnsi="Times New Roman"/>
          <w:color w:val="000000"/>
        </w:rPr>
        <w:t>(艾伏尼布, IDH1抑制剂) 在大中华区和新加坡的业务及商誉(包括被转让资产)并订立资产收购协议及过渡安排协议。</w:t>
      </w:r>
    </w:p>
    <w:p w14:paraId="0302DE04" w14:textId="77777777" w:rsidR="00A82303" w:rsidRDefault="00A82303" w:rsidP="00A82303">
      <w:pPr>
        <w:pStyle w:val="af5"/>
        <w:numPr>
          <w:ilvl w:val="0"/>
          <w:numId w:val="20"/>
        </w:numPr>
        <w:spacing w:before="120"/>
        <w:ind w:left="690" w:hanging="240"/>
        <w:rPr>
          <w:rFonts w:ascii="宋体" w:eastAsia="宋体" w:hAnsi="Times New Roman"/>
          <w:color w:val="000000"/>
        </w:rPr>
      </w:pPr>
      <w:r w:rsidRPr="00A82303">
        <w:rPr>
          <w:rFonts w:ascii="宋体" w:eastAsia="宋体" w:hAnsi="Times New Roman" w:hint="eastAsia"/>
          <w:color w:val="000000"/>
        </w:rPr>
        <w:t>授予</w:t>
      </w:r>
      <w:r w:rsidRPr="00A82303">
        <w:rPr>
          <w:rFonts w:ascii="宋体" w:eastAsia="宋体" w:hAnsi="Times New Roman"/>
          <w:color w:val="000000"/>
        </w:rPr>
        <w:t>Istituto Gentili在西欧/英国地区、授予Ewopharma在瑞士及中欧/东欧地区、授予Pharmalink在中东/北非地区和授予SteinCares在拉丁美洲关于舒格利单抗(PD-L1单抗)的独家商业化权益。</w:t>
      </w:r>
    </w:p>
    <w:p w14:paraId="6FD2DE20" w14:textId="77777777" w:rsidR="00A82303" w:rsidRDefault="00A82303" w:rsidP="00A82303">
      <w:pPr>
        <w:pStyle w:val="af5"/>
        <w:numPr>
          <w:ilvl w:val="0"/>
          <w:numId w:val="21"/>
        </w:numPr>
        <w:spacing w:before="120"/>
        <w:ind w:left="690" w:hanging="240"/>
        <w:rPr>
          <w:rFonts w:ascii="宋体" w:eastAsia="宋体" w:hAnsi="Times New Roman"/>
          <w:color w:val="000000"/>
        </w:rPr>
      </w:pPr>
      <w:r w:rsidRPr="00A82303">
        <w:rPr>
          <w:rFonts w:ascii="宋体" w:eastAsia="宋体" w:hAnsi="Times New Roman" w:hint="eastAsia"/>
          <w:color w:val="000000"/>
        </w:rPr>
        <w:t>向三生制药授予中国大陆地区开发、注册、生产和商业化抗</w:t>
      </w:r>
      <w:r w:rsidRPr="00A82303">
        <w:rPr>
          <w:rFonts w:ascii="宋体" w:eastAsia="宋体" w:hAnsi="Times New Roman"/>
          <w:color w:val="000000"/>
        </w:rPr>
        <w:t>PD-1单抗Nofazinlimab的独家许可权益。</w:t>
      </w:r>
    </w:p>
    <w:p w14:paraId="0C320658" w14:textId="77777777" w:rsidR="00A82303" w:rsidRDefault="00A82303" w:rsidP="00A82303">
      <w:pPr>
        <w:pStyle w:val="af5"/>
        <w:numPr>
          <w:ilvl w:val="0"/>
          <w:numId w:val="22"/>
        </w:numPr>
        <w:spacing w:before="120"/>
        <w:ind w:left="690" w:hanging="240"/>
        <w:rPr>
          <w:rFonts w:ascii="宋体" w:eastAsia="宋体" w:hAnsi="Times New Roman"/>
          <w:color w:val="000000"/>
        </w:rPr>
      </w:pPr>
      <w:r w:rsidRPr="00A82303">
        <w:rPr>
          <w:rFonts w:ascii="宋体" w:eastAsia="宋体" w:hAnsi="Times New Roman" w:hint="eastAsia"/>
          <w:color w:val="000000"/>
        </w:rPr>
        <w:t>与艾力斯</w:t>
      </w:r>
      <w:r w:rsidRPr="00A82303">
        <w:rPr>
          <w:rFonts w:ascii="宋体" w:eastAsia="宋体" w:hAnsi="Times New Roman"/>
          <w:color w:val="000000"/>
        </w:rPr>
        <w:t xml:space="preserve"> (688578.SH) 达成RET抑制剂普吉华</w:t>
      </w:r>
      <w:r w:rsidRPr="00A82303">
        <w:rPr>
          <w:rFonts w:ascii="宋体" w:eastAsia="宋体" w:hAnsi="Times New Roman"/>
          <w:color w:val="000000"/>
        </w:rPr>
        <w:t>®</w:t>
      </w:r>
      <w:r w:rsidRPr="00A82303">
        <w:rPr>
          <w:rFonts w:ascii="宋体" w:eastAsia="宋体" w:hAnsi="Times New Roman"/>
          <w:color w:val="000000"/>
        </w:rPr>
        <w:t xml:space="preserve"> (普拉替尼胶囊) 在中国大陆地区独家商业化推广权的CSO安排。</w:t>
      </w:r>
    </w:p>
    <w:p w14:paraId="4D9C0D86" w14:textId="77777777" w:rsidR="00A82303" w:rsidRDefault="00A82303" w:rsidP="00A82303">
      <w:pPr>
        <w:pStyle w:val="af5"/>
        <w:numPr>
          <w:ilvl w:val="0"/>
          <w:numId w:val="23"/>
        </w:numPr>
        <w:spacing w:before="120"/>
        <w:ind w:left="690" w:hanging="240"/>
        <w:rPr>
          <w:rFonts w:ascii="宋体" w:eastAsia="宋体" w:hAnsi="Times New Roman"/>
          <w:color w:val="000000"/>
        </w:rPr>
      </w:pPr>
      <w:r w:rsidRPr="00A82303">
        <w:rPr>
          <w:rFonts w:ascii="宋体" w:eastAsia="宋体" w:hAnsi="Times New Roman" w:hint="eastAsia"/>
          <w:color w:val="000000"/>
        </w:rPr>
        <w:t>向恒瑞制药</w:t>
      </w:r>
      <w:r w:rsidRPr="00A82303">
        <w:rPr>
          <w:rFonts w:ascii="宋体" w:eastAsia="宋体" w:hAnsi="Times New Roman"/>
          <w:color w:val="000000"/>
        </w:rPr>
        <w:t xml:space="preserve"> (600276.SH)授予旗下主要管线抗CTLA-4 (CS1002)在大中华区独家研发、注册、生产及商业化的权益。</w:t>
      </w:r>
    </w:p>
    <w:p w14:paraId="0522EC20" w14:textId="77777777" w:rsidR="00A82303" w:rsidRDefault="00A82303" w:rsidP="00A82303">
      <w:pPr>
        <w:pStyle w:val="af5"/>
        <w:numPr>
          <w:ilvl w:val="0"/>
          <w:numId w:val="24"/>
        </w:numPr>
        <w:spacing w:before="120"/>
        <w:ind w:left="690" w:hanging="240"/>
        <w:rPr>
          <w:rFonts w:ascii="宋体" w:eastAsia="宋体" w:hAnsi="Times New Roman"/>
          <w:color w:val="000000"/>
        </w:rPr>
      </w:pPr>
      <w:r w:rsidRPr="00A82303">
        <w:rPr>
          <w:rFonts w:ascii="宋体" w:eastAsia="宋体" w:hAnsi="Times New Roman" w:hint="eastAsia"/>
          <w:color w:val="000000"/>
        </w:rPr>
        <w:t>与罗氏、</w:t>
      </w:r>
      <w:r w:rsidRPr="00A82303">
        <w:rPr>
          <w:rFonts w:ascii="宋体" w:eastAsia="宋体" w:hAnsi="Times New Roman"/>
          <w:color w:val="000000"/>
        </w:rPr>
        <w:t>Blueprint Medicines达成普吉华</w:t>
      </w:r>
      <w:r w:rsidRPr="00A82303">
        <w:rPr>
          <w:rFonts w:ascii="宋体" w:eastAsia="宋体" w:hAnsi="Times New Roman"/>
          <w:color w:val="000000"/>
        </w:rPr>
        <w:t>®</w:t>
      </w:r>
      <w:r w:rsidRPr="00A82303">
        <w:rPr>
          <w:rFonts w:ascii="宋体" w:eastAsia="宋体" w:hAnsi="Times New Roman"/>
          <w:color w:val="000000"/>
        </w:rPr>
        <w:t>(普拉替尼胶囊，RET抑制剂)在中国的药品上市许可持有人转让，并就药品供应、生产技术转让、全球临床开发和注册事宜达成合作提供建议。</w:t>
      </w:r>
    </w:p>
    <w:p w14:paraId="69A4F5C6" w14:textId="77777777" w:rsidR="00A82303" w:rsidRDefault="00A82303" w:rsidP="00A82303">
      <w:pPr>
        <w:pStyle w:val="af5"/>
        <w:numPr>
          <w:ilvl w:val="0"/>
          <w:numId w:val="25"/>
        </w:numPr>
        <w:spacing w:before="120"/>
        <w:ind w:left="690" w:hanging="240"/>
        <w:rPr>
          <w:rFonts w:ascii="宋体" w:eastAsia="宋体" w:hAnsi="Times New Roman"/>
          <w:color w:val="000000"/>
        </w:rPr>
      </w:pPr>
      <w:r w:rsidRPr="00A82303">
        <w:rPr>
          <w:rFonts w:ascii="宋体" w:eastAsia="宋体" w:hAnsi="Times New Roman" w:hint="eastAsia"/>
          <w:color w:val="000000"/>
        </w:rPr>
        <w:t>代表季康生物授予</w:t>
      </w:r>
      <w:r w:rsidRPr="00A82303">
        <w:rPr>
          <w:rFonts w:ascii="宋体" w:eastAsia="宋体" w:hAnsi="Times New Roman"/>
          <w:color w:val="000000"/>
        </w:rPr>
        <w:t>BioAge Labs (BIOA.US)独家选择权获得新型APJ受体激动剂纳米抗体的授权许可。若行使选择权，将获得在全球范围内开发及商业化该等抗体管线的权利。</w:t>
      </w:r>
    </w:p>
    <w:p w14:paraId="54EA2B5D" w14:textId="77777777" w:rsidR="00A82303" w:rsidRDefault="00A82303" w:rsidP="00A82303">
      <w:pPr>
        <w:pStyle w:val="af5"/>
        <w:numPr>
          <w:ilvl w:val="0"/>
          <w:numId w:val="26"/>
        </w:numPr>
        <w:spacing w:before="120"/>
        <w:ind w:left="690" w:hanging="240"/>
        <w:rPr>
          <w:rFonts w:ascii="宋体" w:eastAsia="宋体" w:hAnsi="Times New Roman"/>
          <w:color w:val="000000"/>
        </w:rPr>
      </w:pPr>
      <w:r w:rsidRPr="00A82303">
        <w:rPr>
          <w:rFonts w:ascii="宋体" w:eastAsia="宋体" w:hAnsi="Times New Roman" w:hint="eastAsia"/>
          <w:color w:val="000000"/>
        </w:rPr>
        <w:t>代表泽璟制药就其与默克集团</w:t>
      </w:r>
      <w:r w:rsidRPr="00A82303">
        <w:rPr>
          <w:rFonts w:ascii="宋体" w:eastAsia="宋体" w:hAnsi="Times New Roman"/>
          <w:color w:val="000000"/>
        </w:rPr>
        <w:t>(Merck KGaA)达成的授权合作提供法律服务，授予默克在中国大陆地区对泽璟自主研发的重组人促甲状腺素(rhTSH)注射剂的独家商业化权利。</w:t>
      </w:r>
    </w:p>
    <w:p w14:paraId="75E6A995" w14:textId="77777777" w:rsidR="00A82303" w:rsidRDefault="00A82303" w:rsidP="00A82303">
      <w:pPr>
        <w:pStyle w:val="af5"/>
        <w:numPr>
          <w:ilvl w:val="0"/>
          <w:numId w:val="27"/>
        </w:numPr>
        <w:spacing w:before="120"/>
        <w:ind w:left="690" w:hanging="240"/>
        <w:rPr>
          <w:rFonts w:ascii="宋体" w:eastAsia="宋体" w:hAnsi="Times New Roman"/>
          <w:color w:val="000000"/>
        </w:rPr>
      </w:pPr>
      <w:r w:rsidRPr="00A82303">
        <w:rPr>
          <w:rFonts w:ascii="宋体" w:eastAsia="宋体" w:hAnsi="Times New Roman" w:hint="eastAsia"/>
          <w:color w:val="000000"/>
        </w:rPr>
        <w:t>代表</w:t>
      </w:r>
      <w:r w:rsidRPr="00A82303">
        <w:rPr>
          <w:rFonts w:ascii="宋体" w:eastAsia="宋体" w:hAnsi="Times New Roman"/>
          <w:color w:val="000000"/>
        </w:rPr>
        <w:t>UCB与博锐生物达成商业化战略合作，用以在中国市场独家推广和销售IL-17A/F双靶点抑制剂倍捷乐(bimekizumab)。</w:t>
      </w:r>
    </w:p>
    <w:p w14:paraId="26B0BA12" w14:textId="77777777" w:rsidR="00A82303" w:rsidRDefault="00A82303" w:rsidP="00A82303">
      <w:pPr>
        <w:pStyle w:val="af5"/>
        <w:numPr>
          <w:ilvl w:val="0"/>
          <w:numId w:val="28"/>
        </w:numPr>
        <w:spacing w:before="120"/>
        <w:ind w:left="690" w:hanging="240"/>
        <w:rPr>
          <w:rFonts w:ascii="宋体" w:eastAsia="宋体" w:hAnsi="Times New Roman"/>
          <w:color w:val="000000"/>
        </w:rPr>
      </w:pPr>
      <w:r w:rsidRPr="00A82303">
        <w:rPr>
          <w:rFonts w:ascii="宋体" w:eastAsia="宋体" w:hAnsi="Times New Roman" w:hint="eastAsia"/>
          <w:color w:val="000000"/>
        </w:rPr>
        <w:t>代表</w:t>
      </w:r>
      <w:r w:rsidRPr="00A82303">
        <w:rPr>
          <w:rFonts w:ascii="宋体" w:eastAsia="宋体" w:hAnsi="Times New Roman"/>
          <w:color w:val="000000"/>
        </w:rPr>
        <w:t>Frazier Life Sciences就PDE3/4双重抑制剂HSK39004项目与海思科达成全球(除大中华区)独家许可协议。</w:t>
      </w:r>
    </w:p>
    <w:p w14:paraId="54905397" w14:textId="77777777" w:rsidR="00A82303" w:rsidRDefault="00A82303" w:rsidP="00A82303">
      <w:pPr>
        <w:pStyle w:val="af5"/>
        <w:numPr>
          <w:ilvl w:val="0"/>
          <w:numId w:val="29"/>
        </w:numPr>
        <w:spacing w:before="120"/>
        <w:ind w:left="690" w:hanging="240"/>
        <w:rPr>
          <w:rFonts w:ascii="宋体" w:eastAsia="宋体" w:hAnsi="Times New Roman"/>
          <w:color w:val="000000"/>
        </w:rPr>
      </w:pPr>
      <w:r w:rsidRPr="00A82303">
        <w:rPr>
          <w:rFonts w:ascii="宋体" w:eastAsia="宋体" w:hAnsi="Times New Roman" w:hint="eastAsia"/>
          <w:color w:val="000000"/>
        </w:rPr>
        <w:t>代表阿诺医药（纳斯达克证券代码</w:t>
      </w:r>
      <w:r w:rsidRPr="00A82303">
        <w:rPr>
          <w:rFonts w:ascii="宋体" w:eastAsia="宋体" w:hAnsi="Times New Roman"/>
          <w:color w:val="000000"/>
        </w:rPr>
        <w:t>: ANL）就一款泛RAS分子胶抑制剂AN9025在大中华区的独家开发、生产和商业化权益与奥赛康药业达成许可合作协议。</w:t>
      </w:r>
    </w:p>
    <w:p w14:paraId="29D21BBA" w14:textId="77777777" w:rsidR="00A82303" w:rsidRDefault="00A82303" w:rsidP="00A82303">
      <w:pPr>
        <w:pStyle w:val="af5"/>
        <w:numPr>
          <w:ilvl w:val="0"/>
          <w:numId w:val="30"/>
        </w:numPr>
        <w:spacing w:before="120"/>
        <w:ind w:left="690" w:hanging="240"/>
        <w:rPr>
          <w:rFonts w:ascii="宋体" w:eastAsia="宋体" w:hAnsi="Times New Roman"/>
          <w:color w:val="000000"/>
        </w:rPr>
      </w:pPr>
      <w:r w:rsidRPr="00A82303">
        <w:rPr>
          <w:rFonts w:ascii="宋体" w:eastAsia="宋体" w:hAnsi="Times New Roman" w:hint="eastAsia"/>
          <w:color w:val="000000"/>
        </w:rPr>
        <w:t>代表宝济药业及其全资子公司晟济药业与欧加隆达成许可协议，用以在中国大陆地区开发一项辅助生殖领域在研创新药物</w:t>
      </w:r>
      <w:r w:rsidRPr="00A82303">
        <w:rPr>
          <w:rFonts w:ascii="宋体" w:eastAsia="宋体" w:hAnsi="Times New Roman"/>
          <w:color w:val="000000"/>
        </w:rPr>
        <w:t>SJ02(长效重组人促卵泡激素-CTP融合蛋白注射液)。</w:t>
      </w:r>
    </w:p>
    <w:p w14:paraId="55A5ED49" w14:textId="77777777" w:rsidR="00A82303" w:rsidRDefault="00A82303" w:rsidP="00A82303">
      <w:pPr>
        <w:pStyle w:val="af5"/>
        <w:numPr>
          <w:ilvl w:val="0"/>
          <w:numId w:val="31"/>
        </w:numPr>
        <w:spacing w:before="120"/>
        <w:ind w:left="690" w:hanging="240"/>
        <w:rPr>
          <w:rFonts w:ascii="宋体" w:eastAsia="宋体" w:hAnsi="Times New Roman"/>
          <w:color w:val="000000"/>
        </w:rPr>
      </w:pPr>
      <w:r w:rsidRPr="00A82303">
        <w:rPr>
          <w:rFonts w:ascii="宋体" w:eastAsia="宋体" w:hAnsi="Times New Roman" w:hint="eastAsia"/>
          <w:color w:val="000000"/>
        </w:rPr>
        <w:t>代表石药集团全资子公司津曼特生物与江苏康宁杰瑞达成独家授权许可协议，用以在中国大陆地区开发和商业化</w:t>
      </w:r>
      <w:r w:rsidRPr="00A82303">
        <w:rPr>
          <w:rFonts w:ascii="宋体" w:eastAsia="宋体" w:hAnsi="Times New Roman"/>
          <w:color w:val="000000"/>
        </w:rPr>
        <w:t>JSKN003(一种靶向HER2双表位抗体偶联药物)，首付款及近期研发里程碑愈一亿美元。</w:t>
      </w:r>
    </w:p>
    <w:p w14:paraId="06E6B92F" w14:textId="77777777" w:rsidR="00A82303" w:rsidRDefault="00A82303" w:rsidP="00A82303">
      <w:pPr>
        <w:pStyle w:val="af5"/>
        <w:numPr>
          <w:ilvl w:val="0"/>
          <w:numId w:val="32"/>
        </w:numPr>
        <w:spacing w:before="120"/>
        <w:ind w:left="690" w:hanging="240"/>
        <w:rPr>
          <w:rFonts w:ascii="宋体" w:eastAsia="宋体" w:hAnsi="Times New Roman"/>
          <w:color w:val="000000"/>
        </w:rPr>
      </w:pPr>
      <w:r w:rsidRPr="00A82303">
        <w:rPr>
          <w:rFonts w:ascii="宋体" w:eastAsia="宋体" w:hAnsi="Times New Roman" w:hint="eastAsia"/>
          <w:color w:val="000000"/>
        </w:rPr>
        <w:t>代表塔吉瑞生物，就其向先声再明授予临床阶段抗肿瘤候选药物</w:t>
      </w:r>
      <w:r w:rsidRPr="00A82303">
        <w:rPr>
          <w:rFonts w:ascii="宋体" w:eastAsia="宋体" w:hAnsi="Times New Roman"/>
          <w:color w:val="000000"/>
        </w:rPr>
        <w:t xml:space="preserve"> ALK/ROS1 双重受体酪氨酸激酶抑制剂(TGRX-326)在中国大陆的独家商业化权益的交易提供服务，首付款金额逾2,000万美元。</w:t>
      </w:r>
    </w:p>
    <w:p w14:paraId="32777FE7" w14:textId="77777777" w:rsidR="00A82303" w:rsidRDefault="00A82303" w:rsidP="00A82303">
      <w:pPr>
        <w:pStyle w:val="af5"/>
        <w:numPr>
          <w:ilvl w:val="0"/>
          <w:numId w:val="33"/>
        </w:numPr>
        <w:spacing w:before="120"/>
        <w:ind w:left="690" w:hanging="240"/>
        <w:rPr>
          <w:rFonts w:ascii="宋体" w:eastAsia="宋体" w:hAnsi="Times New Roman"/>
          <w:color w:val="000000"/>
        </w:rPr>
      </w:pPr>
      <w:r w:rsidRPr="00A82303">
        <w:rPr>
          <w:rFonts w:ascii="宋体" w:eastAsia="宋体" w:hAnsi="Times New Roman" w:hint="eastAsia"/>
          <w:color w:val="000000"/>
        </w:rPr>
        <w:t>代表恒瑞医药</w:t>
      </w:r>
      <w:r w:rsidRPr="00A82303">
        <w:rPr>
          <w:rFonts w:ascii="宋体" w:eastAsia="宋体" w:hAnsi="Times New Roman"/>
          <w:color w:val="000000"/>
        </w:rPr>
        <w:t xml:space="preserve"> (600276.SH) 就其创新药抗TSLP单克隆抗体 (SHR-1905) 授予Aiolos Bio在大中华地区以外区域进行开发、生产和商业化的独家许可。</w:t>
      </w:r>
    </w:p>
    <w:p w14:paraId="35161D70" w14:textId="77777777" w:rsidR="00A82303" w:rsidRDefault="00A82303" w:rsidP="00A82303">
      <w:pPr>
        <w:pStyle w:val="af5"/>
        <w:numPr>
          <w:ilvl w:val="0"/>
          <w:numId w:val="34"/>
        </w:numPr>
        <w:spacing w:before="120"/>
        <w:ind w:left="690" w:hanging="240"/>
        <w:rPr>
          <w:rFonts w:ascii="宋体" w:eastAsia="宋体" w:hAnsi="Times New Roman"/>
          <w:color w:val="000000"/>
        </w:rPr>
      </w:pPr>
      <w:r w:rsidRPr="00A82303">
        <w:rPr>
          <w:rFonts w:ascii="宋体" w:eastAsia="宋体" w:hAnsi="Times New Roman" w:hint="eastAsia"/>
          <w:color w:val="000000"/>
        </w:rPr>
        <w:t>代表葆元医药，为其将葆元的主要候选药物之一</w:t>
      </w:r>
      <w:r w:rsidRPr="00A82303">
        <w:rPr>
          <w:rFonts w:ascii="宋体" w:eastAsia="宋体" w:hAnsi="Times New Roman"/>
          <w:color w:val="000000"/>
        </w:rPr>
        <w:t>Taletrectinib 分别在中国市场的商业化权利授予信达生物、将日本市场的商业化权利授予Nippon Kayaku (一家日本上市公司) 提供法律服务。</w:t>
      </w:r>
    </w:p>
    <w:p w14:paraId="774F21AD" w14:textId="77777777" w:rsidR="00A82303" w:rsidRDefault="00A82303" w:rsidP="00A82303">
      <w:pPr>
        <w:pStyle w:val="af5"/>
        <w:numPr>
          <w:ilvl w:val="0"/>
          <w:numId w:val="35"/>
        </w:numPr>
        <w:spacing w:before="120"/>
        <w:ind w:left="690" w:hanging="240"/>
        <w:rPr>
          <w:rFonts w:ascii="宋体" w:eastAsia="宋体" w:hAnsi="Times New Roman"/>
          <w:color w:val="000000"/>
        </w:rPr>
      </w:pPr>
      <w:r w:rsidRPr="00A82303">
        <w:rPr>
          <w:rFonts w:ascii="宋体" w:eastAsia="宋体" w:hAnsi="Times New Roman" w:hint="eastAsia"/>
          <w:color w:val="000000"/>
        </w:rPr>
        <w:t>代表圣因生物为其与华东医药</w:t>
      </w:r>
      <w:r w:rsidRPr="00A82303">
        <w:rPr>
          <w:rFonts w:ascii="宋体" w:eastAsia="宋体" w:hAnsi="Times New Roman"/>
          <w:color w:val="000000"/>
        </w:rPr>
        <w:t xml:space="preserve"> (0963.SZ) 达成战略合作、共同开发针对慢性代谢性疾病的siRNA药物项目提供法律服务。</w:t>
      </w:r>
    </w:p>
    <w:p w14:paraId="5BED3E61" w14:textId="77777777" w:rsidR="00A82303" w:rsidRDefault="00A82303" w:rsidP="00A82303">
      <w:pPr>
        <w:pStyle w:val="af5"/>
        <w:spacing w:before="120"/>
        <w:rPr>
          <w:rFonts w:ascii="宋体" w:eastAsia="宋体" w:hAnsi="Times New Roman"/>
          <w:color w:val="000000"/>
        </w:rPr>
      </w:pPr>
      <w:r w:rsidRPr="00A82303">
        <w:rPr>
          <w:rFonts w:ascii="宋体" w:eastAsia="宋体" w:hAnsi="Times New Roman" w:hint="eastAsia"/>
          <w:color w:val="000000"/>
        </w:rPr>
        <w:t>监管咨询与常年公司事务</w:t>
      </w:r>
    </w:p>
    <w:p w14:paraId="0AEDAC8C" w14:textId="77777777" w:rsidR="00A82303" w:rsidRDefault="00A82303" w:rsidP="00A82303">
      <w:pPr>
        <w:pStyle w:val="af5"/>
        <w:numPr>
          <w:ilvl w:val="0"/>
          <w:numId w:val="36"/>
        </w:numPr>
        <w:spacing w:before="120"/>
        <w:ind w:left="690" w:hanging="240"/>
        <w:rPr>
          <w:rFonts w:ascii="宋体" w:eastAsia="宋体" w:hAnsi="Times New Roman"/>
          <w:color w:val="000000"/>
        </w:rPr>
      </w:pPr>
      <w:r w:rsidRPr="00A82303">
        <w:rPr>
          <w:rFonts w:ascii="宋体" w:eastAsia="宋体" w:hAnsi="Times New Roman" w:hint="eastAsia"/>
          <w:color w:val="000000"/>
        </w:rPr>
        <w:t>代表众多跨国及本土生命科学企业，包括阿斯利康、渤健、勃林格殷格翰、腾盛博药、石药集团、基石药业、云顶新耀、</w:t>
      </w:r>
      <w:r w:rsidRPr="00A82303">
        <w:rPr>
          <w:rFonts w:ascii="宋体" w:eastAsia="宋体" w:hAnsi="Times New Roman"/>
          <w:color w:val="000000"/>
        </w:rPr>
        <w:t>Frazier Life Sciences、海森生物、翰森制药、恒瑞医药、驯鹿生物、英矽智能、来凯医药、礼新医药、传奇生物、默沙东、诺华、罗氏制药、圣因生物、燕之桥生物、深信生物、优时比、Vera Therapeutics、药明康德、以岭药业以及再鼎医药等，为其日常运营业务，包括研发项目、临床试验、人类遗传资源(HGR)合规事项、药品上市许可、产品经销、药品广告与推广等所涉及的监管咨询与法律合规事宜提</w:t>
      </w:r>
      <w:r w:rsidRPr="00A82303">
        <w:rPr>
          <w:rFonts w:ascii="宋体" w:eastAsia="宋体" w:hAnsi="Times New Roman" w:hint="eastAsia"/>
          <w:color w:val="000000"/>
        </w:rPr>
        <w:t>供意见。</w:t>
      </w:r>
    </w:p>
    <w:p w14:paraId="2CC66448" w14:textId="77777777" w:rsidR="00A82303" w:rsidRDefault="00A82303" w:rsidP="00A82303">
      <w:pPr>
        <w:pStyle w:val="af5"/>
        <w:spacing w:before="120"/>
        <w:rPr>
          <w:rFonts w:ascii="宋体" w:eastAsia="宋体" w:hAnsi="Times New Roman"/>
          <w:color w:val="000000"/>
        </w:rPr>
      </w:pPr>
      <w:r w:rsidRPr="00A82303">
        <w:rPr>
          <w:rFonts w:ascii="宋体" w:eastAsia="宋体" w:hAnsi="Times New Roman" w:hint="eastAsia"/>
          <w:color w:val="000000"/>
        </w:rPr>
        <w:t>兼并收购、风险投资与新兴公司</w:t>
      </w:r>
    </w:p>
    <w:p w14:paraId="1545433E" w14:textId="77777777" w:rsidR="00A82303" w:rsidRDefault="00A82303" w:rsidP="00A82303">
      <w:pPr>
        <w:pStyle w:val="af5"/>
        <w:numPr>
          <w:ilvl w:val="0"/>
          <w:numId w:val="37"/>
        </w:numPr>
        <w:spacing w:before="120"/>
        <w:ind w:left="690" w:hanging="240"/>
        <w:rPr>
          <w:rFonts w:ascii="宋体" w:eastAsia="宋体" w:hAnsi="Times New Roman"/>
          <w:color w:val="000000"/>
        </w:rPr>
      </w:pPr>
      <w:r w:rsidRPr="00A82303">
        <w:rPr>
          <w:rFonts w:ascii="宋体" w:eastAsia="宋体" w:hAnsi="Times New Roman" w:hint="eastAsia"/>
          <w:color w:val="000000"/>
        </w:rPr>
        <w:t>代表中国生物制药</w:t>
      </w:r>
      <w:r w:rsidRPr="00A82303">
        <w:rPr>
          <w:rFonts w:ascii="宋体" w:eastAsia="宋体" w:hAnsi="Times New Roman"/>
          <w:color w:val="000000"/>
        </w:rPr>
        <w:t>(1177.HK)，在其与赫吉亚生物(一家专注于小干扰核酸siRNA创新药物研发的生物医药企业)达成100%全资收购交易中提供法律服务。</w:t>
      </w:r>
    </w:p>
    <w:p w14:paraId="1D3CD5CD" w14:textId="77777777" w:rsidR="00A82303" w:rsidRDefault="00A82303" w:rsidP="00A82303">
      <w:pPr>
        <w:pStyle w:val="af5"/>
        <w:numPr>
          <w:ilvl w:val="0"/>
          <w:numId w:val="38"/>
        </w:numPr>
        <w:spacing w:before="120"/>
        <w:ind w:left="690" w:hanging="240"/>
        <w:rPr>
          <w:rFonts w:ascii="宋体" w:eastAsia="宋体" w:hAnsi="Times New Roman"/>
          <w:color w:val="000000"/>
        </w:rPr>
      </w:pPr>
      <w:r w:rsidRPr="00A82303">
        <w:rPr>
          <w:rFonts w:ascii="宋体" w:eastAsia="宋体" w:hAnsi="Times New Roman" w:hint="eastAsia"/>
          <w:color w:val="000000"/>
        </w:rPr>
        <w:t>代表葆元医药，在其与</w:t>
      </w:r>
      <w:r w:rsidRPr="00A82303">
        <w:rPr>
          <w:rFonts w:ascii="宋体" w:eastAsia="宋体" w:hAnsi="Times New Roman"/>
          <w:color w:val="000000"/>
        </w:rPr>
        <w:t>Nuvation Bio (纽约证券交易所股票代码: NUVB)达成整体换股出售交易中提供法律服务。</w:t>
      </w:r>
    </w:p>
    <w:p w14:paraId="2F2A876A" w14:textId="77777777" w:rsidR="00A82303" w:rsidRDefault="00A82303" w:rsidP="00A82303">
      <w:pPr>
        <w:pStyle w:val="af5"/>
        <w:numPr>
          <w:ilvl w:val="0"/>
          <w:numId w:val="39"/>
        </w:numPr>
        <w:spacing w:before="120"/>
        <w:ind w:left="690" w:hanging="240"/>
        <w:rPr>
          <w:rFonts w:ascii="宋体" w:eastAsia="宋体" w:hAnsi="Times New Roman"/>
          <w:color w:val="000000"/>
        </w:rPr>
      </w:pPr>
      <w:r w:rsidRPr="00A82303">
        <w:rPr>
          <w:rFonts w:ascii="宋体" w:eastAsia="宋体" w:hAnsi="Times New Roman" w:hint="eastAsia"/>
          <w:color w:val="000000"/>
        </w:rPr>
        <w:t>代表基石药业，为其</w:t>
      </w:r>
      <w:r w:rsidRPr="00A82303">
        <w:rPr>
          <w:rFonts w:ascii="宋体" w:eastAsia="宋体" w:hAnsi="Times New Roman"/>
          <w:color w:val="000000"/>
        </w:rPr>
        <w:t>B轮融资、上市前重组、许可授权、早期合作和境内外ESOP相关事宜上提供法律服务。</w:t>
      </w:r>
    </w:p>
    <w:p w14:paraId="1113CD78" w14:textId="77777777" w:rsidR="00A82303" w:rsidRDefault="00A82303" w:rsidP="00A82303">
      <w:pPr>
        <w:pStyle w:val="af5"/>
        <w:numPr>
          <w:ilvl w:val="0"/>
          <w:numId w:val="40"/>
        </w:numPr>
        <w:spacing w:before="120"/>
        <w:ind w:left="690" w:hanging="240"/>
        <w:rPr>
          <w:rFonts w:ascii="宋体" w:eastAsia="宋体" w:hAnsi="Times New Roman"/>
          <w:color w:val="000000"/>
        </w:rPr>
      </w:pPr>
      <w:r w:rsidRPr="00A82303">
        <w:rPr>
          <w:rFonts w:ascii="宋体" w:eastAsia="宋体" w:hAnsi="Times New Roman" w:hint="eastAsia"/>
          <w:color w:val="000000"/>
        </w:rPr>
        <w:t>代表循曜生物，为其引入龙磐投资领投、上海生物医药基金追加投资的</w:t>
      </w:r>
      <w:r w:rsidRPr="00A82303">
        <w:rPr>
          <w:rFonts w:ascii="宋体" w:eastAsia="宋体" w:hAnsi="Times New Roman"/>
          <w:color w:val="000000"/>
        </w:rPr>
        <w:t>A轮融资提供法律服务，融资总额近两亿元人民币。</w:t>
      </w:r>
    </w:p>
    <w:p w14:paraId="1FF5AFF3" w14:textId="77777777" w:rsidR="00A82303" w:rsidRDefault="00A82303" w:rsidP="00A82303">
      <w:pPr>
        <w:pStyle w:val="af5"/>
        <w:numPr>
          <w:ilvl w:val="0"/>
          <w:numId w:val="41"/>
        </w:numPr>
        <w:spacing w:before="120"/>
        <w:ind w:left="690" w:hanging="240"/>
        <w:rPr>
          <w:rFonts w:ascii="宋体" w:eastAsia="宋体" w:hAnsi="Times New Roman"/>
          <w:color w:val="000000"/>
        </w:rPr>
      </w:pPr>
      <w:r w:rsidRPr="00A82303">
        <w:rPr>
          <w:rFonts w:ascii="宋体" w:eastAsia="宋体" w:hAnsi="Times New Roman" w:hint="eastAsia"/>
          <w:color w:val="000000"/>
        </w:rPr>
        <w:t>代表艾科联生物完成境外新设架构搭建及</w:t>
      </w:r>
      <w:r w:rsidRPr="00A82303">
        <w:rPr>
          <w:rFonts w:ascii="宋体" w:eastAsia="宋体" w:hAnsi="Times New Roman"/>
          <w:color w:val="000000"/>
        </w:rPr>
        <w:t>A轮优先股融资（由知名投资人红杉资本、元生创投和杏泽资本联合领投）。</w:t>
      </w:r>
    </w:p>
    <w:p w14:paraId="024FB408" w14:textId="77777777" w:rsidR="00A82303" w:rsidRDefault="00A82303" w:rsidP="00A82303">
      <w:pPr>
        <w:pStyle w:val="af5"/>
        <w:numPr>
          <w:ilvl w:val="0"/>
          <w:numId w:val="42"/>
        </w:numPr>
        <w:spacing w:before="120"/>
        <w:ind w:left="690" w:hanging="240"/>
        <w:rPr>
          <w:rFonts w:ascii="宋体" w:eastAsia="宋体" w:hAnsi="Times New Roman"/>
          <w:color w:val="000000"/>
        </w:rPr>
      </w:pPr>
      <w:r w:rsidRPr="00A82303">
        <w:rPr>
          <w:rFonts w:ascii="宋体" w:eastAsia="宋体" w:hAnsi="Times New Roman" w:hint="eastAsia"/>
          <w:color w:val="000000"/>
        </w:rPr>
        <w:t>代表璧辰医药完成</w:t>
      </w:r>
      <w:r w:rsidRPr="00A82303">
        <w:rPr>
          <w:rFonts w:ascii="宋体" w:eastAsia="宋体" w:hAnsi="Times New Roman"/>
          <w:color w:val="000000"/>
        </w:rPr>
        <w:t>A 轮优先股融资以及处理一般公司事务。</w:t>
      </w:r>
    </w:p>
    <w:p w14:paraId="3FD3CBA9" w14:textId="77777777" w:rsidR="00A82303" w:rsidRDefault="00A82303" w:rsidP="00A82303">
      <w:pPr>
        <w:pStyle w:val="af5"/>
        <w:numPr>
          <w:ilvl w:val="0"/>
          <w:numId w:val="43"/>
        </w:numPr>
        <w:spacing w:before="120"/>
        <w:ind w:left="690" w:hanging="240"/>
        <w:rPr>
          <w:rFonts w:ascii="宋体" w:eastAsia="宋体" w:hAnsi="Times New Roman"/>
          <w:color w:val="000000"/>
        </w:rPr>
      </w:pPr>
      <w:r w:rsidRPr="00A82303">
        <w:rPr>
          <w:rFonts w:ascii="宋体" w:eastAsia="宋体" w:hAnsi="Times New Roman" w:hint="eastAsia"/>
          <w:color w:val="000000"/>
        </w:rPr>
        <w:t>代表启明创投和博远资本就其作为领投方共同投资并参与北恒生物</w:t>
      </w:r>
      <w:r w:rsidRPr="00A82303">
        <w:rPr>
          <w:rFonts w:ascii="宋体" w:eastAsia="宋体" w:hAnsi="Times New Roman"/>
          <w:color w:val="000000"/>
        </w:rPr>
        <w:t xml:space="preserve"> (一家专注于CAR-T疗法的临床阶段生物科技企业) C轮融资提供法律服务。</w:t>
      </w:r>
    </w:p>
    <w:p w14:paraId="062DE918" w14:textId="77777777" w:rsidR="00A82303" w:rsidRDefault="00A82303" w:rsidP="00A82303">
      <w:pPr>
        <w:pStyle w:val="af5"/>
        <w:numPr>
          <w:ilvl w:val="0"/>
          <w:numId w:val="44"/>
        </w:numPr>
        <w:spacing w:before="120"/>
        <w:ind w:left="690" w:hanging="240"/>
        <w:rPr>
          <w:rFonts w:ascii="宋体" w:eastAsia="宋体" w:hAnsi="Times New Roman"/>
          <w:color w:val="000000"/>
        </w:rPr>
      </w:pPr>
      <w:r w:rsidRPr="00A82303">
        <w:rPr>
          <w:rFonts w:ascii="宋体" w:eastAsia="宋体" w:hAnsi="Times New Roman" w:hint="eastAsia"/>
          <w:color w:val="000000"/>
        </w:rPr>
        <w:t>代表启明创投就其作为领投方投资并参与岭睿生命科学</w:t>
      </w:r>
      <w:r w:rsidRPr="00A82303">
        <w:rPr>
          <w:rFonts w:ascii="宋体" w:eastAsia="宋体" w:hAnsi="Times New Roman"/>
          <w:color w:val="000000"/>
        </w:rPr>
        <w:t>(NeuHyll Therapeutics Inc.)A轮融资提供法律服务。</w:t>
      </w:r>
    </w:p>
    <w:p w14:paraId="5678E970" w14:textId="77777777" w:rsidR="00A82303" w:rsidRDefault="00A82303" w:rsidP="00A82303">
      <w:pPr>
        <w:pStyle w:val="af5"/>
        <w:numPr>
          <w:ilvl w:val="0"/>
          <w:numId w:val="45"/>
        </w:numPr>
        <w:spacing w:before="120"/>
        <w:ind w:left="690" w:hanging="240"/>
        <w:rPr>
          <w:rFonts w:ascii="宋体" w:eastAsia="宋体" w:hAnsi="Times New Roman"/>
          <w:color w:val="000000"/>
        </w:rPr>
      </w:pPr>
      <w:r w:rsidRPr="00A82303">
        <w:rPr>
          <w:rFonts w:ascii="宋体" w:eastAsia="宋体" w:hAnsi="Times New Roman" w:hint="eastAsia"/>
          <w:color w:val="000000"/>
        </w:rPr>
        <w:t>代表博远资本就其作为领投方投资并参与思璞锐医药</w:t>
      </w:r>
      <w:r w:rsidRPr="00A82303">
        <w:rPr>
          <w:rFonts w:ascii="宋体" w:eastAsia="宋体" w:hAnsi="Times New Roman"/>
          <w:color w:val="000000"/>
        </w:rPr>
        <w:t>(SciBrunch Therapeutics)的天使轮及Pre-A轮融资提供法律服务。</w:t>
      </w:r>
    </w:p>
    <w:p w14:paraId="0E4E356C" w14:textId="77777777" w:rsidR="00A82303" w:rsidRDefault="00A82303" w:rsidP="00A82303">
      <w:pPr>
        <w:pStyle w:val="af5"/>
        <w:numPr>
          <w:ilvl w:val="0"/>
          <w:numId w:val="46"/>
        </w:numPr>
        <w:spacing w:before="120"/>
        <w:ind w:left="690" w:hanging="240"/>
        <w:rPr>
          <w:rFonts w:ascii="宋体" w:eastAsia="宋体" w:hAnsi="Times New Roman"/>
          <w:color w:val="000000"/>
        </w:rPr>
      </w:pPr>
      <w:r w:rsidRPr="00A82303">
        <w:rPr>
          <w:rFonts w:ascii="宋体" w:eastAsia="宋体" w:hAnsi="Times New Roman" w:hint="eastAsia"/>
          <w:color w:val="000000"/>
        </w:rPr>
        <w:t>代表上海生物医药基金就其作为领投方完成对微知卓生物</w:t>
      </w:r>
      <w:r w:rsidRPr="00A82303">
        <w:rPr>
          <w:rFonts w:ascii="宋体" w:eastAsia="宋体" w:hAnsi="Times New Roman"/>
          <w:color w:val="000000"/>
        </w:rPr>
        <w:t xml:space="preserve"> (一家专注于新型重症肝病细胞治疗及再生医学领域的临床阶段生物科技企业) 的B+轮融资提供法律服务，融资总额逾两亿元人民币。</w:t>
      </w:r>
    </w:p>
    <w:p w14:paraId="242503B2" w14:textId="77777777" w:rsidR="00A82303" w:rsidRDefault="00A82303" w:rsidP="00A82303">
      <w:pPr>
        <w:pStyle w:val="af5"/>
        <w:numPr>
          <w:ilvl w:val="0"/>
          <w:numId w:val="47"/>
        </w:numPr>
        <w:spacing w:before="120"/>
        <w:ind w:left="690" w:hanging="240"/>
        <w:rPr>
          <w:rFonts w:ascii="宋体" w:eastAsia="宋体" w:hAnsi="Times New Roman"/>
          <w:color w:val="000000"/>
        </w:rPr>
      </w:pPr>
      <w:r w:rsidRPr="00A82303">
        <w:rPr>
          <w:rFonts w:ascii="宋体" w:eastAsia="宋体" w:hAnsi="Times New Roman" w:hint="eastAsia"/>
          <w:color w:val="000000"/>
        </w:rPr>
        <w:t>代表斯道资本，为其作为领投方完成对数字化临床研究企业新视焰的超亿元</w:t>
      </w:r>
      <w:r w:rsidRPr="00A82303">
        <w:rPr>
          <w:rFonts w:ascii="宋体" w:eastAsia="宋体" w:hAnsi="Times New Roman"/>
          <w:color w:val="000000"/>
        </w:rPr>
        <w:t>A轮融资提供法律服务。</w:t>
      </w:r>
    </w:p>
    <w:p w14:paraId="4D25FF26" w14:textId="77777777" w:rsidR="00A82303" w:rsidRDefault="00A82303" w:rsidP="00A82303">
      <w:pPr>
        <w:pStyle w:val="af5"/>
        <w:numPr>
          <w:ilvl w:val="0"/>
          <w:numId w:val="48"/>
        </w:numPr>
        <w:spacing w:before="120"/>
        <w:ind w:left="690" w:hanging="240"/>
        <w:rPr>
          <w:rFonts w:ascii="宋体" w:eastAsia="宋体" w:hAnsi="Times New Roman"/>
          <w:color w:val="000000"/>
        </w:rPr>
      </w:pPr>
      <w:r w:rsidRPr="00A82303">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中国商业化许可权益提供法律服务。</w:t>
      </w:r>
    </w:p>
    <w:p w14:paraId="1DBD2A1A" w14:textId="77777777" w:rsidR="00A82303" w:rsidRDefault="00A82303" w:rsidP="00A82303">
      <w:pPr>
        <w:pStyle w:val="af5"/>
        <w:numPr>
          <w:ilvl w:val="0"/>
          <w:numId w:val="49"/>
        </w:numPr>
        <w:spacing w:before="120"/>
        <w:ind w:left="690" w:hanging="240"/>
        <w:rPr>
          <w:rFonts w:ascii="宋体" w:eastAsia="宋体" w:hAnsi="Times New Roman"/>
          <w:color w:val="000000"/>
        </w:rPr>
      </w:pPr>
      <w:r w:rsidRPr="00A82303">
        <w:rPr>
          <w:rFonts w:ascii="宋体" w:eastAsia="宋体" w:hAnsi="Times New Roman" w:hint="eastAsia"/>
          <w:color w:val="000000"/>
        </w:rPr>
        <w:t>代表各风险投资基金，包括斯道资本、博远资本、上海生物医药基金、启明创投、云锋基金、奥博资本、纪源资本、经纬中国、德诚资本在生命科学、医疗健康、电子商务、金融服务、电信和教育领域的投资</w:t>
      </w:r>
      <w:r w:rsidRPr="00A82303">
        <w:rPr>
          <w:rFonts w:ascii="宋体" w:eastAsia="宋体" w:hAnsi="Times New Roman"/>
          <w:color w:val="000000"/>
        </w:rPr>
        <w:t>/退出交易提供法律服务。</w:t>
      </w:r>
    </w:p>
    <w:p w14:paraId="7A0DE227" w14:textId="77777777" w:rsidR="00A82303" w:rsidRDefault="00A82303" w:rsidP="00A82303">
      <w:pPr>
        <w:pStyle w:val="af5"/>
        <w:numPr>
          <w:ilvl w:val="0"/>
          <w:numId w:val="50"/>
        </w:numPr>
        <w:spacing w:before="120"/>
        <w:ind w:left="690" w:hanging="240"/>
        <w:rPr>
          <w:rFonts w:ascii="宋体" w:eastAsia="宋体" w:hAnsi="Times New Roman"/>
          <w:color w:val="000000"/>
        </w:rPr>
      </w:pPr>
      <w:r w:rsidRPr="00A82303">
        <w:rPr>
          <w:rFonts w:ascii="宋体" w:eastAsia="宋体" w:hAnsi="Times New Roman" w:hint="eastAsia"/>
          <w:color w:val="000000"/>
        </w:rPr>
        <w:t>代表各类新兴的成长型公司，包括康宁杰瑞、凯迪泰医疗、基因宝、璧辰医药、以及</w:t>
      </w:r>
      <w:r w:rsidRPr="00A82303">
        <w:rPr>
          <w:rFonts w:ascii="宋体" w:eastAsia="宋体" w:hAnsi="Times New Roman"/>
          <w:color w:val="000000"/>
        </w:rPr>
        <w:t>Quantifeed、Cashshield、Carousell、Gshopper、Yamibuy, Hycor进行股权融资 (包括从种子轮到pre-IPO轮融资)、重组和资产收购提供法律服务。</w:t>
      </w:r>
    </w:p>
    <w:p w14:paraId="6BD97DA9"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教育背景</w:t>
      </w:r>
    </w:p>
    <w:p w14:paraId="18E0E9AD" w14:textId="77777777" w:rsidR="00A82303" w:rsidRDefault="00A82303" w:rsidP="00A82303">
      <w:pPr>
        <w:pStyle w:val="af5"/>
        <w:numPr>
          <w:ilvl w:val="0"/>
          <w:numId w:val="51"/>
        </w:numPr>
        <w:spacing w:before="120"/>
        <w:ind w:left="690" w:hanging="240"/>
        <w:rPr>
          <w:rFonts w:ascii="宋体" w:eastAsia="宋体" w:hAnsi="Times New Roman"/>
          <w:color w:val="000000"/>
        </w:rPr>
      </w:pPr>
      <w:r w:rsidRPr="00A82303">
        <w:rPr>
          <w:rFonts w:ascii="宋体" w:eastAsia="宋体" w:hAnsi="Times New Roman" w:hint="eastAsia"/>
          <w:color w:val="000000"/>
        </w:rPr>
        <w:t>华东政法大学，法学学士；法学硕士</w:t>
      </w:r>
    </w:p>
    <w:p w14:paraId="79953A42" w14:textId="77777777" w:rsidR="00A82303" w:rsidRDefault="00A82303" w:rsidP="00A82303">
      <w:pPr>
        <w:pStyle w:val="af5"/>
        <w:numPr>
          <w:ilvl w:val="0"/>
          <w:numId w:val="52"/>
        </w:numPr>
        <w:spacing w:before="120"/>
        <w:ind w:left="690" w:hanging="240"/>
        <w:rPr>
          <w:rFonts w:ascii="宋体" w:eastAsia="宋体" w:hAnsi="Times New Roman"/>
          <w:color w:val="000000"/>
        </w:rPr>
      </w:pPr>
      <w:r w:rsidRPr="00A82303">
        <w:rPr>
          <w:rFonts w:ascii="宋体" w:eastAsia="宋体" w:hAnsi="Times New Roman" w:hint="eastAsia"/>
          <w:color w:val="000000"/>
        </w:rPr>
        <w:t>美国威斯康星大学麦迪逊分校，法学硕士</w:t>
      </w:r>
    </w:p>
    <w:p w14:paraId="617556E5"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执业资格</w:t>
      </w:r>
    </w:p>
    <w:p w14:paraId="2B5068F7" w14:textId="77777777" w:rsidR="00A82303" w:rsidRDefault="00A82303" w:rsidP="00A82303">
      <w:pPr>
        <w:pStyle w:val="af5"/>
        <w:numPr>
          <w:ilvl w:val="0"/>
          <w:numId w:val="53"/>
        </w:numPr>
        <w:spacing w:before="120"/>
        <w:ind w:left="690" w:hanging="240"/>
        <w:rPr>
          <w:rFonts w:ascii="宋体" w:eastAsia="宋体" w:hAnsi="Times New Roman"/>
          <w:color w:val="000000"/>
        </w:rPr>
      </w:pPr>
      <w:r w:rsidRPr="00A82303">
        <w:rPr>
          <w:rFonts w:ascii="宋体" w:eastAsia="宋体" w:hAnsi="Times New Roman" w:hint="eastAsia"/>
          <w:color w:val="000000"/>
        </w:rPr>
        <w:t>美国马萨诸塞州律师资格</w:t>
      </w:r>
    </w:p>
    <w:p w14:paraId="3AA57044" w14:textId="77777777" w:rsidR="00A82303" w:rsidRDefault="00A82303" w:rsidP="00A82303">
      <w:pPr>
        <w:pStyle w:val="af5"/>
        <w:numPr>
          <w:ilvl w:val="0"/>
          <w:numId w:val="54"/>
        </w:numPr>
        <w:spacing w:before="120"/>
        <w:ind w:left="690" w:hanging="240"/>
        <w:rPr>
          <w:rFonts w:ascii="宋体" w:eastAsia="宋体" w:hAnsi="Times New Roman"/>
          <w:color w:val="000000"/>
        </w:rPr>
      </w:pPr>
      <w:r w:rsidRPr="00A82303">
        <w:rPr>
          <w:rFonts w:ascii="宋体" w:eastAsia="宋体" w:hAnsi="Times New Roman" w:hint="eastAsia"/>
          <w:color w:val="000000"/>
        </w:rPr>
        <w:t>中华人民共和国执业律师</w:t>
      </w:r>
    </w:p>
    <w:p w14:paraId="7CEA3B88"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工作语言</w:t>
      </w:r>
    </w:p>
    <w:p w14:paraId="0A180F89" w14:textId="77777777" w:rsidR="00A82303" w:rsidRDefault="00A82303" w:rsidP="00A82303">
      <w:pPr>
        <w:pStyle w:val="af5"/>
        <w:numPr>
          <w:ilvl w:val="0"/>
          <w:numId w:val="55"/>
        </w:numPr>
        <w:spacing w:before="120"/>
        <w:ind w:left="690" w:hanging="240"/>
        <w:rPr>
          <w:rFonts w:ascii="宋体" w:eastAsia="宋体" w:hAnsi="Times New Roman"/>
          <w:color w:val="000000"/>
        </w:rPr>
      </w:pPr>
      <w:r w:rsidRPr="00A82303">
        <w:rPr>
          <w:rFonts w:ascii="宋体" w:eastAsia="宋体" w:hAnsi="Times New Roman" w:hint="eastAsia"/>
          <w:color w:val="000000"/>
        </w:rPr>
        <w:t>中文</w:t>
      </w:r>
    </w:p>
    <w:p w14:paraId="12B4E023" w14:textId="77777777" w:rsidR="00A82303" w:rsidRDefault="00A82303" w:rsidP="00A82303">
      <w:pPr>
        <w:pStyle w:val="af5"/>
        <w:numPr>
          <w:ilvl w:val="0"/>
          <w:numId w:val="56"/>
        </w:numPr>
        <w:spacing w:before="120"/>
        <w:ind w:left="690" w:hanging="240"/>
        <w:rPr>
          <w:rFonts w:ascii="宋体" w:eastAsia="宋体" w:hAnsi="Times New Roman"/>
          <w:color w:val="000000"/>
        </w:rPr>
      </w:pPr>
      <w:r w:rsidRPr="00A82303">
        <w:rPr>
          <w:rFonts w:ascii="宋体" w:eastAsia="宋体" w:hAnsi="Times New Roman" w:hint="eastAsia"/>
          <w:color w:val="000000"/>
        </w:rPr>
        <w:t>英文</w:t>
      </w:r>
    </w:p>
    <w:p w14:paraId="6A76A66F"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职业背景</w:t>
      </w:r>
    </w:p>
    <w:p w14:paraId="5CF87667" w14:textId="77777777" w:rsidR="00A82303" w:rsidRDefault="00A82303" w:rsidP="00A82303">
      <w:pPr>
        <w:pStyle w:val="af5"/>
        <w:numPr>
          <w:ilvl w:val="0"/>
          <w:numId w:val="57"/>
        </w:numPr>
        <w:spacing w:before="120"/>
        <w:ind w:left="690" w:hanging="240"/>
        <w:rPr>
          <w:rFonts w:ascii="宋体" w:eastAsia="宋体" w:hAnsi="Times New Roman"/>
          <w:color w:val="000000"/>
        </w:rPr>
      </w:pPr>
      <w:r w:rsidRPr="00A82303">
        <w:rPr>
          <w:rFonts w:ascii="宋体" w:eastAsia="宋体" w:hAnsi="Times New Roman" w:hint="eastAsia"/>
          <w:color w:val="000000"/>
        </w:rPr>
        <w:t>何律师于</w:t>
      </w:r>
      <w:r w:rsidRPr="00A82303">
        <w:rPr>
          <w:rFonts w:ascii="宋体" w:eastAsia="宋体" w:hAnsi="Times New Roman"/>
          <w:color w:val="000000"/>
        </w:rPr>
        <w:t>2023年作为合伙人加入方达律师事务所。在此之前，何律师担任上市生物医药公司基石药业(2616.HK)的董事会秘书、副总裁兼总法律顾问。在从事公司内部法务及管理工作前，何律师于美国科律律师事务所(Cooley LLP)和美国贝克</w:t>
      </w:r>
      <w:r w:rsidRPr="00A82303">
        <w:rPr>
          <w:rFonts w:ascii="宋体" w:eastAsia="宋体" w:hAnsi="Times New Roman"/>
          <w:color w:val="000000"/>
        </w:rPr>
        <w:t>∙</w:t>
      </w:r>
      <w:r w:rsidRPr="00A82303">
        <w:rPr>
          <w:rFonts w:ascii="宋体" w:eastAsia="宋体" w:hAnsi="Times New Roman"/>
          <w:color w:val="000000"/>
        </w:rPr>
        <w:t>麦坚时律师事务所(Baker  McKenzie)工作多年，为诸多投资基金、初创企业及跨国公司提供法律建议，执业领域涵盖早期融资及上市前重组、许可交易、风险投资、境内外员工持股计划、公司并购等。</w:t>
      </w:r>
    </w:p>
    <w:p w14:paraId="7AE8EB21"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其他信息</w:t>
      </w:r>
    </w:p>
    <w:p w14:paraId="034F737F" w14:textId="77777777" w:rsidR="00A82303" w:rsidRDefault="00A82303" w:rsidP="00A82303">
      <w:pPr>
        <w:pStyle w:val="af5"/>
        <w:spacing w:after="0" w:line="480" w:lineRule="auto"/>
        <w:rPr>
          <w:rFonts w:ascii="宋体" w:eastAsia="宋体" w:hAnsi="宋体"/>
          <w:b/>
          <w:sz w:val="24"/>
        </w:rPr>
      </w:pPr>
      <w:r w:rsidRPr="00A82303">
        <w:rPr>
          <w:rFonts w:ascii="宋体" w:eastAsia="宋体" w:hAnsi="宋体" w:hint="eastAsia"/>
          <w:b/>
          <w:sz w:val="24"/>
        </w:rPr>
        <w:t>出版物</w:t>
      </w:r>
    </w:p>
    <w:p w14:paraId="6BD6276D" w14:textId="77777777" w:rsidR="00A82303" w:rsidRDefault="00A82303" w:rsidP="00A82303">
      <w:pPr>
        <w:pStyle w:val="af5"/>
        <w:numPr>
          <w:ilvl w:val="0"/>
          <w:numId w:val="58"/>
        </w:numPr>
        <w:spacing w:before="120"/>
        <w:ind w:left="690" w:hanging="240"/>
        <w:rPr>
          <w:rFonts w:ascii="宋体" w:eastAsia="宋体" w:hAnsi="Times New Roman"/>
          <w:color w:val="000000"/>
        </w:rPr>
      </w:pPr>
      <w:r w:rsidRPr="00A82303">
        <w:rPr>
          <w:rFonts w:ascii="宋体" w:eastAsia="宋体" w:hAnsi="Times New Roman"/>
          <w:color w:val="000000"/>
        </w:rPr>
        <w:t xml:space="preserve">共同作者, 《在不确定中遇见和锚定机遇: 探讨中国生物医药并购趋势与核心风险点》, Legal 500 (2024年9月) </w:t>
      </w:r>
      <w:r w:rsidRPr="00A82303">
        <w:rPr>
          <w:rFonts w:ascii="宋体" w:eastAsia="宋体" w:hAnsi="宋体" w:cs="宋体" w:hint="eastAsia"/>
          <w:color w:val="000000"/>
        </w:rPr>
        <w:t>①</w:t>
      </w:r>
      <w:r w:rsidRPr="00A82303">
        <w:rPr>
          <w:rFonts w:ascii="宋体" w:eastAsia="宋体" w:hAnsi="Times New Roman"/>
          <w:color w:val="000000"/>
        </w:rPr>
        <w:t xml:space="preserve"> </w:t>
      </w:r>
    </w:p>
    <w:p w14:paraId="5D8CF077" w14:textId="77777777" w:rsidR="00A82303" w:rsidRDefault="00A82303" w:rsidP="00A82303">
      <w:pPr>
        <w:pStyle w:val="af5"/>
        <w:numPr>
          <w:ilvl w:val="0"/>
          <w:numId w:val="59"/>
        </w:numPr>
        <w:spacing w:before="120"/>
        <w:ind w:left="690" w:hanging="240"/>
        <w:rPr>
          <w:rFonts w:ascii="宋体" w:eastAsia="宋体" w:hAnsi="Times New Roman"/>
          <w:color w:val="000000"/>
        </w:rPr>
      </w:pPr>
      <w:r w:rsidRPr="00A82303">
        <w:rPr>
          <w:rFonts w:ascii="宋体" w:eastAsia="宋体" w:hAnsi="Times New Roman"/>
          <w:color w:val="000000"/>
        </w:rPr>
        <w:t>共同作者, 《中国生命科学: 交易洞见及瞩目行业趋势》, Legal 500 (2024年2月)</w:t>
      </w:r>
      <w:r w:rsidRPr="00A82303">
        <w:rPr>
          <w:rFonts w:ascii="宋体" w:eastAsia="宋体" w:hAnsi="Times New Roman"/>
          <w:color w:val="000000"/>
        </w:rPr>
        <w:t> </w:t>
      </w:r>
      <w:r w:rsidRPr="00A82303">
        <w:rPr>
          <w:rFonts w:ascii="宋体" w:eastAsia="宋体" w:hAnsi="宋体" w:cs="宋体" w:hint="eastAsia"/>
          <w:color w:val="000000"/>
        </w:rPr>
        <w:t>②</w:t>
      </w:r>
      <w:r w:rsidRPr="00A82303">
        <w:rPr>
          <w:rFonts w:ascii="宋体" w:eastAsia="宋体" w:hAnsi="Times New Roman"/>
          <w:color w:val="000000"/>
        </w:rPr>
        <w:t xml:space="preserve"> </w:t>
      </w:r>
    </w:p>
    <w:p w14:paraId="4F0A196B" w14:textId="154F3878" w:rsidR="00A46A04" w:rsidRPr="00A82303" w:rsidRDefault="00A82303" w:rsidP="00A82303">
      <w:pPr>
        <w:pStyle w:val="af5"/>
        <w:numPr>
          <w:ilvl w:val="0"/>
          <w:numId w:val="60"/>
        </w:numPr>
        <w:spacing w:before="120"/>
        <w:ind w:left="690" w:hanging="240"/>
        <w:rPr>
          <w:rFonts w:ascii="宋体" w:eastAsia="宋体" w:hAnsi="Times New Roman"/>
          <w:color w:val="000000"/>
        </w:rPr>
      </w:pPr>
      <w:r w:rsidRPr="00A82303">
        <w:rPr>
          <w:rFonts w:ascii="宋体" w:eastAsia="宋体" w:hAnsi="Times New Roman"/>
          <w:color w:val="000000"/>
        </w:rPr>
        <w:t>共同作者, 《生命科学与医疗健康2024年鉴: 中国篇问答指引》, Legal 500 (2024年2月)</w:t>
      </w:r>
      <w:r w:rsidRPr="00A82303">
        <w:rPr>
          <w:rFonts w:ascii="宋体" w:eastAsia="宋体" w:hAnsi="Times New Roman"/>
          <w:color w:val="000000"/>
        </w:rPr>
        <w:t> </w:t>
      </w:r>
      <w:r w:rsidRPr="00A82303">
        <w:rPr>
          <w:rFonts w:ascii="宋体" w:eastAsia="宋体" w:hAnsi="宋体" w:cs="宋体" w:hint="eastAsia"/>
          <w:color w:val="000000"/>
        </w:rPr>
        <w:t>③</w:t>
      </w:r>
      <w:r w:rsidRPr="00A82303">
        <w:rPr>
          <w:rFonts w:ascii="宋体" w:eastAsia="宋体" w:hAnsi="Times New Roman"/>
          <w:color w:val="000000"/>
        </w:rPr>
        <w:t xml:space="preserve"> </w:t>
      </w:r>
    </w:p>
    <w:sectPr w:rsidR="00A46A04" w:rsidRPr="00A823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9A3"/>
    <w:multiLevelType w:val="singleLevel"/>
    <w:tmpl w:val="B332FE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6161B"/>
    <w:multiLevelType w:val="singleLevel"/>
    <w:tmpl w:val="CFFEBE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F330E"/>
    <w:multiLevelType w:val="singleLevel"/>
    <w:tmpl w:val="98AA4C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2635B9"/>
    <w:multiLevelType w:val="singleLevel"/>
    <w:tmpl w:val="B37C31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290CFB"/>
    <w:multiLevelType w:val="singleLevel"/>
    <w:tmpl w:val="A7061C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A87E15"/>
    <w:multiLevelType w:val="singleLevel"/>
    <w:tmpl w:val="50B830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1B1E6A"/>
    <w:multiLevelType w:val="singleLevel"/>
    <w:tmpl w:val="E4C852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DE3D4C"/>
    <w:multiLevelType w:val="singleLevel"/>
    <w:tmpl w:val="1826BA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5D4A29"/>
    <w:multiLevelType w:val="singleLevel"/>
    <w:tmpl w:val="7A9AE9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22445B"/>
    <w:multiLevelType w:val="singleLevel"/>
    <w:tmpl w:val="CD6AF4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1B5F3A"/>
    <w:multiLevelType w:val="singleLevel"/>
    <w:tmpl w:val="8F38FC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350A23"/>
    <w:multiLevelType w:val="singleLevel"/>
    <w:tmpl w:val="A91C2B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8F168C"/>
    <w:multiLevelType w:val="singleLevel"/>
    <w:tmpl w:val="10BC81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9D13B7"/>
    <w:multiLevelType w:val="singleLevel"/>
    <w:tmpl w:val="433243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D8548B"/>
    <w:multiLevelType w:val="singleLevel"/>
    <w:tmpl w:val="E74278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1C1166"/>
    <w:multiLevelType w:val="singleLevel"/>
    <w:tmpl w:val="86C239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7F1F93"/>
    <w:multiLevelType w:val="singleLevel"/>
    <w:tmpl w:val="037CE9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A9027A"/>
    <w:multiLevelType w:val="singleLevel"/>
    <w:tmpl w:val="2932AC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57270E"/>
    <w:multiLevelType w:val="singleLevel"/>
    <w:tmpl w:val="212035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622287"/>
    <w:multiLevelType w:val="singleLevel"/>
    <w:tmpl w:val="87A443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635AD3"/>
    <w:multiLevelType w:val="singleLevel"/>
    <w:tmpl w:val="491877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7879D0"/>
    <w:multiLevelType w:val="singleLevel"/>
    <w:tmpl w:val="F32689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703CCB"/>
    <w:multiLevelType w:val="singleLevel"/>
    <w:tmpl w:val="AC163D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525527"/>
    <w:multiLevelType w:val="singleLevel"/>
    <w:tmpl w:val="1AD4BE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A6586B"/>
    <w:multiLevelType w:val="singleLevel"/>
    <w:tmpl w:val="CB66B1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3B3739"/>
    <w:multiLevelType w:val="singleLevel"/>
    <w:tmpl w:val="75025E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440ABD"/>
    <w:multiLevelType w:val="singleLevel"/>
    <w:tmpl w:val="620278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744270"/>
    <w:multiLevelType w:val="singleLevel"/>
    <w:tmpl w:val="C5B8E0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7527CFD"/>
    <w:multiLevelType w:val="singleLevel"/>
    <w:tmpl w:val="B204DD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C87E9F"/>
    <w:multiLevelType w:val="singleLevel"/>
    <w:tmpl w:val="6C3E22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8E2839"/>
    <w:multiLevelType w:val="singleLevel"/>
    <w:tmpl w:val="322C4C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F03979"/>
    <w:multiLevelType w:val="singleLevel"/>
    <w:tmpl w:val="74C2A6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CE1E72"/>
    <w:multiLevelType w:val="singleLevel"/>
    <w:tmpl w:val="D90C29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163201"/>
    <w:multiLevelType w:val="singleLevel"/>
    <w:tmpl w:val="9DF43C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130FAE"/>
    <w:multiLevelType w:val="singleLevel"/>
    <w:tmpl w:val="F77E3B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AD66DE"/>
    <w:multiLevelType w:val="singleLevel"/>
    <w:tmpl w:val="4D76F6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C5232E"/>
    <w:multiLevelType w:val="singleLevel"/>
    <w:tmpl w:val="CBDA17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CC2661"/>
    <w:multiLevelType w:val="singleLevel"/>
    <w:tmpl w:val="62BA00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8A4246"/>
    <w:multiLevelType w:val="singleLevel"/>
    <w:tmpl w:val="022A748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43B3368"/>
    <w:multiLevelType w:val="singleLevel"/>
    <w:tmpl w:val="6AE67A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B84C57"/>
    <w:multiLevelType w:val="singleLevel"/>
    <w:tmpl w:val="5EE277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BB241B"/>
    <w:multiLevelType w:val="singleLevel"/>
    <w:tmpl w:val="9DB6DC0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426C3B"/>
    <w:multiLevelType w:val="singleLevel"/>
    <w:tmpl w:val="2DFA4B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8340266"/>
    <w:multiLevelType w:val="singleLevel"/>
    <w:tmpl w:val="45A404F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B2318B5"/>
    <w:multiLevelType w:val="singleLevel"/>
    <w:tmpl w:val="EDD6CA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CB3243"/>
    <w:multiLevelType w:val="singleLevel"/>
    <w:tmpl w:val="3CF6FD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CAD27ED"/>
    <w:multiLevelType w:val="singleLevel"/>
    <w:tmpl w:val="64F8EF9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1C5528"/>
    <w:multiLevelType w:val="singleLevel"/>
    <w:tmpl w:val="C1B4ADD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793D59"/>
    <w:multiLevelType w:val="singleLevel"/>
    <w:tmpl w:val="87C645B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A3692D"/>
    <w:multiLevelType w:val="singleLevel"/>
    <w:tmpl w:val="4936167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3C97094"/>
    <w:multiLevelType w:val="singleLevel"/>
    <w:tmpl w:val="6EE60F4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8BC31D8"/>
    <w:multiLevelType w:val="singleLevel"/>
    <w:tmpl w:val="E5BCF7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DD634E"/>
    <w:multiLevelType w:val="singleLevel"/>
    <w:tmpl w:val="366A0DF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C57028D"/>
    <w:multiLevelType w:val="singleLevel"/>
    <w:tmpl w:val="1C82F41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CFF40AF"/>
    <w:multiLevelType w:val="singleLevel"/>
    <w:tmpl w:val="977AA71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E7C5A7B"/>
    <w:multiLevelType w:val="singleLevel"/>
    <w:tmpl w:val="91284A1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F940E7"/>
    <w:multiLevelType w:val="singleLevel"/>
    <w:tmpl w:val="366A0DF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2E17B4C"/>
    <w:multiLevelType w:val="singleLevel"/>
    <w:tmpl w:val="90464BC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801329"/>
    <w:multiLevelType w:val="singleLevel"/>
    <w:tmpl w:val="03E2354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516FF6"/>
    <w:multiLevelType w:val="singleLevel"/>
    <w:tmpl w:val="B22E2022"/>
    <w:lvl w:ilvl="0">
      <w:start w:val="1"/>
      <w:numFmt w:val="bullet"/>
      <w:lvlText w:val=""/>
      <w:lvlJc w:val="left"/>
      <w:pPr>
        <w:tabs>
          <w:tab w:val="num" w:pos="200"/>
        </w:tabs>
        <w:ind w:left="200" w:hanging="200"/>
      </w:pPr>
      <w:rPr>
        <w:rFonts w:ascii="Wingdings" w:hAnsi="Wingdings" w:hint="default"/>
        <w:sz w:val="16"/>
      </w:rPr>
    </w:lvl>
  </w:abstractNum>
  <w:num w:numId="1">
    <w:abstractNumId w:val="25"/>
  </w:num>
  <w:num w:numId="2">
    <w:abstractNumId w:val="43"/>
  </w:num>
  <w:num w:numId="3">
    <w:abstractNumId w:val="0"/>
  </w:num>
  <w:num w:numId="4">
    <w:abstractNumId w:val="27"/>
  </w:num>
  <w:num w:numId="5">
    <w:abstractNumId w:val="48"/>
  </w:num>
  <w:num w:numId="6">
    <w:abstractNumId w:val="53"/>
  </w:num>
  <w:num w:numId="7">
    <w:abstractNumId w:val="24"/>
  </w:num>
  <w:num w:numId="8">
    <w:abstractNumId w:val="39"/>
  </w:num>
  <w:num w:numId="9">
    <w:abstractNumId w:val="23"/>
  </w:num>
  <w:num w:numId="10">
    <w:abstractNumId w:val="1"/>
  </w:num>
  <w:num w:numId="11">
    <w:abstractNumId w:val="18"/>
  </w:num>
  <w:num w:numId="12">
    <w:abstractNumId w:val="40"/>
  </w:num>
  <w:num w:numId="13">
    <w:abstractNumId w:val="55"/>
  </w:num>
  <w:num w:numId="14">
    <w:abstractNumId w:val="57"/>
  </w:num>
  <w:num w:numId="15">
    <w:abstractNumId w:val="11"/>
  </w:num>
  <w:num w:numId="16">
    <w:abstractNumId w:val="36"/>
  </w:num>
  <w:num w:numId="17">
    <w:abstractNumId w:val="3"/>
  </w:num>
  <w:num w:numId="18">
    <w:abstractNumId w:val="33"/>
  </w:num>
  <w:num w:numId="19">
    <w:abstractNumId w:val="17"/>
  </w:num>
  <w:num w:numId="20">
    <w:abstractNumId w:val="7"/>
  </w:num>
  <w:num w:numId="21">
    <w:abstractNumId w:val="37"/>
  </w:num>
  <w:num w:numId="22">
    <w:abstractNumId w:val="22"/>
  </w:num>
  <w:num w:numId="23">
    <w:abstractNumId w:val="50"/>
  </w:num>
  <w:num w:numId="24">
    <w:abstractNumId w:val="59"/>
  </w:num>
  <w:num w:numId="25">
    <w:abstractNumId w:val="10"/>
  </w:num>
  <w:num w:numId="26">
    <w:abstractNumId w:val="34"/>
  </w:num>
  <w:num w:numId="27">
    <w:abstractNumId w:val="42"/>
  </w:num>
  <w:num w:numId="28">
    <w:abstractNumId w:val="31"/>
  </w:num>
  <w:num w:numId="29">
    <w:abstractNumId w:val="6"/>
  </w:num>
  <w:num w:numId="30">
    <w:abstractNumId w:val="49"/>
  </w:num>
  <w:num w:numId="31">
    <w:abstractNumId w:val="30"/>
  </w:num>
  <w:num w:numId="32">
    <w:abstractNumId w:val="26"/>
  </w:num>
  <w:num w:numId="33">
    <w:abstractNumId w:val="58"/>
  </w:num>
  <w:num w:numId="34">
    <w:abstractNumId w:val="12"/>
  </w:num>
  <w:num w:numId="35">
    <w:abstractNumId w:val="21"/>
  </w:num>
  <w:num w:numId="36">
    <w:abstractNumId w:val="45"/>
  </w:num>
  <w:num w:numId="37">
    <w:abstractNumId w:val="8"/>
  </w:num>
  <w:num w:numId="38">
    <w:abstractNumId w:val="46"/>
  </w:num>
  <w:num w:numId="39">
    <w:abstractNumId w:val="29"/>
  </w:num>
  <w:num w:numId="40">
    <w:abstractNumId w:val="20"/>
  </w:num>
  <w:num w:numId="41">
    <w:abstractNumId w:val="44"/>
  </w:num>
  <w:num w:numId="42">
    <w:abstractNumId w:val="35"/>
  </w:num>
  <w:num w:numId="43">
    <w:abstractNumId w:val="47"/>
  </w:num>
  <w:num w:numId="44">
    <w:abstractNumId w:val="38"/>
  </w:num>
  <w:num w:numId="45">
    <w:abstractNumId w:val="9"/>
  </w:num>
  <w:num w:numId="46">
    <w:abstractNumId w:val="14"/>
  </w:num>
  <w:num w:numId="47">
    <w:abstractNumId w:val="15"/>
  </w:num>
  <w:num w:numId="48">
    <w:abstractNumId w:val="2"/>
  </w:num>
  <w:num w:numId="49">
    <w:abstractNumId w:val="32"/>
  </w:num>
  <w:num w:numId="50">
    <w:abstractNumId w:val="5"/>
  </w:num>
  <w:num w:numId="51">
    <w:abstractNumId w:val="13"/>
  </w:num>
  <w:num w:numId="52">
    <w:abstractNumId w:val="54"/>
  </w:num>
  <w:num w:numId="53">
    <w:abstractNumId w:val="28"/>
  </w:num>
  <w:num w:numId="54">
    <w:abstractNumId w:val="51"/>
  </w:num>
  <w:num w:numId="55">
    <w:abstractNumId w:val="19"/>
  </w:num>
  <w:num w:numId="56">
    <w:abstractNumId w:val="4"/>
  </w:num>
  <w:num w:numId="57">
    <w:abstractNumId w:val="16"/>
  </w:num>
  <w:num w:numId="58">
    <w:abstractNumId w:val="41"/>
  </w:num>
  <w:num w:numId="59">
    <w:abstractNumId w:val="56"/>
  </w:num>
  <w:num w:numId="60">
    <w:abstractNumId w:val="5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82303"/>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2303"/>
    <w:pPr>
      <w:spacing w:after="120"/>
    </w:pPr>
  </w:style>
  <w:style w:type="character" w:customStyle="1" w:styleId="af6">
    <w:name w:val="正文文本 字符"/>
    <w:basedOn w:val="a0"/>
    <w:link w:val="af5"/>
    <w:uiPriority w:val="99"/>
    <w:rsid w:val="00A823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9BCA7-2377-43A5-93DC-05C2697FA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2026-06-21T06:00:00Z</dcterms:created>
  <dcterms:modified xsi:type="dcterms:W3CDTF">2026-06-21T06:00:00Z</dcterms:modified>
</cp:coreProperties>
</file>