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205A07B" w:rsidR="0049405C" w:rsidRPr="00187BAA" w:rsidRDefault="00CD7021" w:rsidP="00CD7021">
            <w:pPr>
              <w:spacing w:line="720" w:lineRule="auto"/>
              <w:rPr>
                <w:rFonts w:ascii="宋体" w:eastAsia="宋体" w:hAnsi="宋体"/>
                <w:color w:val="545551"/>
              </w:rPr>
            </w:pPr>
            <w:bookmarkStart w:id="0" w:name="xingming"/>
            <w:bookmarkStart w:id="1" w:name="_GoBack"/>
            <w:bookmarkEnd w:id="1"/>
            <w:r w:rsidRPr="00CD7021">
              <w:rPr>
                <w:rFonts w:ascii="宋体" w:eastAsia="宋体" w:hAnsi="Times New Roman" w:hint="eastAsia"/>
                <w:b/>
                <w:color w:val="000000"/>
                <w:sz w:val="48"/>
              </w:rPr>
              <w:t>由思宇</w:t>
            </w:r>
            <w:bookmarkEnd w:id="0"/>
          </w:p>
          <w:p w14:paraId="706EB16B" w14:textId="7CEA3977" w:rsidR="0049405C" w:rsidRPr="00187BAA" w:rsidRDefault="00CD7021" w:rsidP="00CD7021">
            <w:pPr>
              <w:spacing w:line="360" w:lineRule="auto"/>
              <w:rPr>
                <w:rFonts w:ascii="宋体" w:eastAsia="宋体" w:hAnsi="宋体"/>
                <w:b/>
                <w:bCs/>
                <w:color w:val="545551"/>
              </w:rPr>
            </w:pPr>
            <w:bookmarkStart w:id="2" w:name="didian"/>
            <w:r w:rsidRPr="00CD7021">
              <w:rPr>
                <w:rFonts w:ascii="宋体" w:eastAsia="宋体" w:hAnsi="Times New Roman" w:hint="eastAsia"/>
                <w:b/>
                <w:bCs/>
                <w:color w:val="000000"/>
              </w:rPr>
              <w:t>北京</w:t>
            </w:r>
            <w:bookmarkEnd w:id="2"/>
          </w:p>
          <w:p w14:paraId="6199424A" w14:textId="40AB7F92" w:rsidR="0049405C" w:rsidRPr="00187BAA" w:rsidRDefault="00CD7021" w:rsidP="00CD7021">
            <w:pPr>
              <w:spacing w:line="360" w:lineRule="auto"/>
              <w:rPr>
                <w:rFonts w:ascii="宋体" w:eastAsia="宋体" w:hAnsi="宋体"/>
                <w:color w:val="545551"/>
              </w:rPr>
            </w:pPr>
            <w:bookmarkStart w:id="3" w:name="dianhua"/>
            <w:r w:rsidRPr="00CD7021">
              <w:rPr>
                <w:rFonts w:ascii="宋体" w:eastAsia="宋体" w:hAnsi="Times New Roman"/>
                <w:color w:val="000000"/>
              </w:rPr>
              <w:t xml:space="preserve">+86 10 5769 4274 </w:t>
            </w:r>
            <w:bookmarkEnd w:id="3"/>
          </w:p>
          <w:p w14:paraId="4F910ACA" w14:textId="0E49C8E7" w:rsidR="0049405C" w:rsidRPr="00187BAA" w:rsidRDefault="00CD7021" w:rsidP="00CD7021">
            <w:pPr>
              <w:spacing w:line="360" w:lineRule="auto"/>
              <w:rPr>
                <w:rFonts w:ascii="宋体" w:eastAsia="宋体" w:hAnsi="宋体"/>
                <w:color w:val="000000"/>
              </w:rPr>
            </w:pPr>
            <w:bookmarkStart w:id="4" w:name="youxiang"/>
            <w:r w:rsidRPr="00CD7021">
              <w:rPr>
                <w:rFonts w:ascii="宋体" w:eastAsia="宋体" w:hAnsi="Times New Roman"/>
                <w:color w:val="000000"/>
              </w:rPr>
              <w:t>siyu.you@fangdalaw.com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3F1A039" w:rsidR="0049405C" w:rsidRPr="00187BAA" w:rsidRDefault="00CD7021"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79C6B13" wp14:editId="55F09E6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FACF69F" w:rsidR="009465FB" w:rsidRPr="00187BAA" w:rsidRDefault="00CD7021" w:rsidP="007177F3">
            <w:pPr>
              <w:rPr>
                <w:rFonts w:ascii="宋体" w:eastAsia="宋体" w:hAnsi="宋体"/>
                <w:color w:val="000000"/>
                <w:szCs w:val="21"/>
              </w:rPr>
            </w:pPr>
            <w:bookmarkStart w:id="6" w:name="zhiyelingyu"/>
            <w:r w:rsidRPr="00CD7021">
              <w:rPr>
                <w:rFonts w:ascii="宋体" w:eastAsia="宋体" w:hAnsi="Times New Roman" w:hint="eastAsia"/>
                <w:color w:val="000000"/>
                <w:szCs w:val="21"/>
              </w:rPr>
              <w:t>由思宇律师主要从事资本市场领域的法律业务，为债务和股权证券发行交易中的发行人和承销商提供法律服务，以及就金融和证券监管合规等向客户提供咨询。</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7E256C7" w14:textId="77777777" w:rsidR="00CD7021"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1D604E8" w14:textId="77777777" w:rsidR="00CD7021" w:rsidRDefault="00CD7021" w:rsidP="00CD7021">
      <w:pPr>
        <w:pStyle w:val="af5"/>
        <w:spacing w:after="0" w:line="480" w:lineRule="auto"/>
        <w:rPr>
          <w:rFonts w:ascii="宋体" w:eastAsia="宋体" w:hAnsi="宋体"/>
          <w:b/>
          <w:sz w:val="24"/>
        </w:rPr>
      </w:pPr>
      <w:r w:rsidRPr="00CD7021">
        <w:rPr>
          <w:rFonts w:ascii="宋体" w:eastAsia="宋体" w:hAnsi="宋体" w:hint="eastAsia"/>
          <w:b/>
          <w:sz w:val="24"/>
        </w:rPr>
        <w:t>近期代理的主要案件</w:t>
      </w:r>
    </w:p>
    <w:p w14:paraId="17134432" w14:textId="77777777" w:rsidR="00CD7021" w:rsidRDefault="00CD7021" w:rsidP="00CD7021">
      <w:pPr>
        <w:pStyle w:val="af5"/>
        <w:spacing w:before="120"/>
        <w:rPr>
          <w:rFonts w:ascii="宋体" w:eastAsia="宋体" w:hAnsi="Times New Roman"/>
          <w:color w:val="000000"/>
        </w:rPr>
      </w:pPr>
      <w:r w:rsidRPr="00CD7021">
        <w:rPr>
          <w:rFonts w:ascii="宋体" w:eastAsia="宋体" w:hAnsi="Times New Roman" w:hint="eastAsia"/>
          <w:color w:val="000000"/>
        </w:rPr>
        <w:t>股权证券发行及上市</w:t>
      </w:r>
    </w:p>
    <w:p w14:paraId="492364EA" w14:textId="77777777" w:rsidR="00CD7021" w:rsidRDefault="00CD7021" w:rsidP="00CD7021">
      <w:pPr>
        <w:pStyle w:val="af5"/>
        <w:numPr>
          <w:ilvl w:val="0"/>
          <w:numId w:val="4"/>
        </w:numPr>
        <w:spacing w:before="120"/>
        <w:ind w:left="690" w:hanging="240"/>
        <w:rPr>
          <w:rFonts w:ascii="宋体" w:eastAsia="宋体" w:hAnsi="Times New Roman"/>
          <w:color w:val="000000"/>
        </w:rPr>
      </w:pPr>
      <w:r w:rsidRPr="00CD7021">
        <w:rPr>
          <w:rFonts w:ascii="宋体" w:eastAsia="宋体" w:hAnsi="Times New Roman" w:hint="eastAsia"/>
          <w:color w:val="000000"/>
        </w:rPr>
        <w:t>代表郑州银行、青岛银行、广州农村商业银行、朝聚眼科医疗完成其首次公开发行及香港上市，并撰写招股书；</w:t>
      </w:r>
    </w:p>
    <w:p w14:paraId="28607286" w14:textId="77777777" w:rsidR="00CD7021" w:rsidRDefault="00CD7021" w:rsidP="00CD7021">
      <w:pPr>
        <w:pStyle w:val="af5"/>
        <w:numPr>
          <w:ilvl w:val="0"/>
          <w:numId w:val="5"/>
        </w:numPr>
        <w:spacing w:before="120"/>
        <w:ind w:left="690" w:hanging="240"/>
        <w:rPr>
          <w:rFonts w:ascii="宋体" w:eastAsia="宋体" w:hAnsi="Times New Roman"/>
          <w:color w:val="000000"/>
        </w:rPr>
      </w:pPr>
      <w:r w:rsidRPr="00CD7021">
        <w:rPr>
          <w:rFonts w:ascii="宋体" w:eastAsia="宋体" w:hAnsi="Times New Roman" w:hint="eastAsia"/>
          <w:color w:val="000000"/>
        </w:rPr>
        <w:t>代表保荐人及承销商完成盛京银行、万达商业地产、普天通信集团首次公开发行及香港上市；</w:t>
      </w:r>
    </w:p>
    <w:p w14:paraId="076C5A16" w14:textId="77777777" w:rsidR="00CD7021" w:rsidRDefault="00CD7021" w:rsidP="00CD7021">
      <w:pPr>
        <w:pStyle w:val="af5"/>
        <w:numPr>
          <w:ilvl w:val="0"/>
          <w:numId w:val="6"/>
        </w:numPr>
        <w:spacing w:before="120"/>
        <w:ind w:left="690" w:hanging="240"/>
        <w:rPr>
          <w:rFonts w:ascii="宋体" w:eastAsia="宋体" w:hAnsi="Times New Roman"/>
          <w:color w:val="000000"/>
        </w:rPr>
      </w:pPr>
      <w:r w:rsidRPr="00CD7021">
        <w:rPr>
          <w:rFonts w:ascii="宋体" w:eastAsia="宋体" w:hAnsi="Times New Roman" w:hint="eastAsia"/>
          <w:color w:val="000000"/>
        </w:rPr>
        <w:t>代表华泰证券（沪伦通下首单西向</w:t>
      </w:r>
      <w:r w:rsidRPr="00CD7021">
        <w:rPr>
          <w:rFonts w:ascii="宋体" w:eastAsia="宋体" w:hAnsi="Times New Roman"/>
          <w:color w:val="000000"/>
        </w:rPr>
        <w:t>GDR发行）、国投电力控股公司完成其GDR发行及伦敦交易所上市；</w:t>
      </w:r>
    </w:p>
    <w:p w14:paraId="71C4744A" w14:textId="77777777" w:rsidR="00CD7021" w:rsidRDefault="00CD7021" w:rsidP="00CD7021">
      <w:pPr>
        <w:pStyle w:val="af5"/>
        <w:numPr>
          <w:ilvl w:val="0"/>
          <w:numId w:val="7"/>
        </w:numPr>
        <w:spacing w:before="120"/>
        <w:ind w:left="690" w:hanging="240"/>
        <w:rPr>
          <w:rFonts w:ascii="宋体" w:eastAsia="宋体" w:hAnsi="Times New Roman"/>
          <w:color w:val="000000"/>
        </w:rPr>
      </w:pPr>
      <w:r w:rsidRPr="00CD7021">
        <w:rPr>
          <w:rFonts w:ascii="宋体" w:eastAsia="宋体" w:hAnsi="Times New Roman" w:hint="eastAsia"/>
          <w:color w:val="000000"/>
        </w:rPr>
        <w:t>代表承销商完成太平洋保险公司</w:t>
      </w:r>
      <w:r w:rsidRPr="00CD7021">
        <w:rPr>
          <w:rFonts w:ascii="宋体" w:eastAsia="宋体" w:hAnsi="Times New Roman"/>
          <w:color w:val="000000"/>
        </w:rPr>
        <w:t>GDR发行及伦敦上市；</w:t>
      </w:r>
    </w:p>
    <w:p w14:paraId="1F6410BC" w14:textId="77777777" w:rsidR="00CD7021" w:rsidRDefault="00CD7021" w:rsidP="00CD7021">
      <w:pPr>
        <w:pStyle w:val="af5"/>
        <w:spacing w:before="120"/>
        <w:rPr>
          <w:rFonts w:ascii="宋体" w:eastAsia="宋体" w:hAnsi="Times New Roman"/>
          <w:color w:val="000000"/>
        </w:rPr>
      </w:pPr>
      <w:r w:rsidRPr="00CD7021">
        <w:rPr>
          <w:rFonts w:ascii="宋体" w:eastAsia="宋体" w:hAnsi="Times New Roman" w:hint="eastAsia"/>
          <w:color w:val="000000"/>
        </w:rPr>
        <w:t>债券及混合证券类证券发行</w:t>
      </w:r>
    </w:p>
    <w:p w14:paraId="020CC49A" w14:textId="77777777" w:rsidR="00CD7021" w:rsidRDefault="00CD7021" w:rsidP="00CD7021">
      <w:pPr>
        <w:pStyle w:val="af5"/>
        <w:numPr>
          <w:ilvl w:val="0"/>
          <w:numId w:val="8"/>
        </w:numPr>
        <w:spacing w:before="120"/>
        <w:ind w:left="690" w:hanging="240"/>
        <w:rPr>
          <w:rFonts w:ascii="宋体" w:eastAsia="宋体" w:hAnsi="Times New Roman"/>
          <w:color w:val="000000"/>
        </w:rPr>
      </w:pPr>
      <w:r w:rsidRPr="00CD7021">
        <w:rPr>
          <w:rFonts w:ascii="宋体" w:eastAsia="宋体" w:hAnsi="Times New Roman" w:hint="eastAsia"/>
          <w:color w:val="000000"/>
        </w:rPr>
        <w:t>摩根士丹利、巴克莱银行、德国巴斯夫集团、巴西书赞桉诺集团、亚洲基础设施投资银行、加拿大不列颠哥伦比亚省、菲律宾共和国、匈牙利、大韩民国、意大利存款和贷款机构股份有限公司（</w:t>
      </w:r>
      <w:r w:rsidRPr="00CD7021">
        <w:rPr>
          <w:rFonts w:ascii="宋体" w:eastAsia="宋体" w:hAnsi="Times New Roman"/>
          <w:color w:val="000000"/>
        </w:rPr>
        <w:t>Cassa depositi e prestiti S.p.A.）、恒安国际集团、新鸿基地产熊猫债注册及发行；</w:t>
      </w:r>
    </w:p>
    <w:p w14:paraId="18BD5433" w14:textId="77777777" w:rsidR="00CD7021" w:rsidRDefault="00CD7021" w:rsidP="00CD7021">
      <w:pPr>
        <w:pStyle w:val="af5"/>
        <w:numPr>
          <w:ilvl w:val="0"/>
          <w:numId w:val="9"/>
        </w:numPr>
        <w:spacing w:before="120"/>
        <w:ind w:left="690" w:hanging="240"/>
        <w:rPr>
          <w:rFonts w:ascii="宋体" w:eastAsia="宋体" w:hAnsi="Times New Roman"/>
          <w:color w:val="000000"/>
        </w:rPr>
      </w:pPr>
      <w:r w:rsidRPr="00CD7021">
        <w:rPr>
          <w:rFonts w:ascii="宋体" w:eastAsia="宋体" w:hAnsi="Times New Roman" w:hint="eastAsia"/>
          <w:color w:val="000000"/>
        </w:rPr>
        <w:t>国际复兴开发银行（世界银行集团主要成员）特别提款权债券项目注册及发行；</w:t>
      </w:r>
    </w:p>
    <w:p w14:paraId="1BEE3228" w14:textId="77777777" w:rsidR="00CD7021" w:rsidRDefault="00CD7021" w:rsidP="00CD7021">
      <w:pPr>
        <w:pStyle w:val="af5"/>
        <w:numPr>
          <w:ilvl w:val="0"/>
          <w:numId w:val="10"/>
        </w:numPr>
        <w:spacing w:before="120"/>
        <w:ind w:left="690" w:hanging="240"/>
        <w:rPr>
          <w:rFonts w:ascii="宋体" w:eastAsia="宋体" w:hAnsi="Times New Roman"/>
          <w:color w:val="000000"/>
        </w:rPr>
      </w:pPr>
      <w:r w:rsidRPr="00CD7021">
        <w:rPr>
          <w:rFonts w:ascii="宋体" w:eastAsia="宋体" w:hAnsi="Times New Roman" w:hint="eastAsia"/>
          <w:color w:val="000000"/>
        </w:rPr>
        <w:t>中信证券、远东宏信境外中期票据发行项目更新及提款；</w:t>
      </w:r>
    </w:p>
    <w:p w14:paraId="25CCC8C3" w14:textId="77777777" w:rsidR="00CD7021" w:rsidRDefault="00CD7021" w:rsidP="00CD7021">
      <w:pPr>
        <w:pStyle w:val="af5"/>
        <w:numPr>
          <w:ilvl w:val="0"/>
          <w:numId w:val="11"/>
        </w:numPr>
        <w:spacing w:before="120"/>
        <w:ind w:left="690" w:hanging="240"/>
        <w:rPr>
          <w:rFonts w:ascii="宋体" w:eastAsia="宋体" w:hAnsi="Times New Roman"/>
          <w:color w:val="000000"/>
        </w:rPr>
      </w:pPr>
      <w:r w:rsidRPr="00CD7021">
        <w:rPr>
          <w:rFonts w:ascii="宋体" w:eastAsia="宋体" w:hAnsi="Times New Roman" w:hint="eastAsia"/>
          <w:color w:val="000000"/>
        </w:rPr>
        <w:t>东方财富、远东国际融资租赁、凯德中国信托、浙江省海港投资运营集团、新疆中泰集团、无锡产业集团、淮安水利控股、河南水利投资集团、济南城建集团、湖州莫干山高新集团、富港建设集团、江苏皋开投资发展集团、台州黄岩经开集团美元债券发行；</w:t>
      </w:r>
    </w:p>
    <w:p w14:paraId="7CC9C07B" w14:textId="77777777" w:rsidR="00CD7021" w:rsidRDefault="00CD7021" w:rsidP="00CD7021">
      <w:pPr>
        <w:pStyle w:val="af5"/>
        <w:numPr>
          <w:ilvl w:val="0"/>
          <w:numId w:val="12"/>
        </w:numPr>
        <w:spacing w:before="120"/>
        <w:ind w:left="690" w:hanging="240"/>
        <w:rPr>
          <w:rFonts w:ascii="宋体" w:eastAsia="宋体" w:hAnsi="Times New Roman"/>
          <w:color w:val="000000"/>
        </w:rPr>
      </w:pPr>
      <w:r w:rsidRPr="00CD7021">
        <w:rPr>
          <w:rFonts w:ascii="宋体" w:eastAsia="宋体" w:hAnsi="Times New Roman" w:hint="eastAsia"/>
          <w:color w:val="000000"/>
        </w:rPr>
        <w:t>广州农村商业银行境外优先股发行；</w:t>
      </w:r>
    </w:p>
    <w:p w14:paraId="1964F48B" w14:textId="77777777" w:rsidR="00CD7021" w:rsidRDefault="00CD7021" w:rsidP="00CD7021">
      <w:pPr>
        <w:pStyle w:val="af5"/>
        <w:spacing w:before="120"/>
        <w:rPr>
          <w:rFonts w:ascii="宋体" w:eastAsia="宋体" w:hAnsi="Times New Roman"/>
          <w:color w:val="000000"/>
        </w:rPr>
      </w:pPr>
      <w:r w:rsidRPr="00CD7021">
        <w:rPr>
          <w:rFonts w:ascii="宋体" w:eastAsia="宋体" w:hAnsi="Times New Roman" w:hint="eastAsia"/>
          <w:color w:val="000000"/>
        </w:rPr>
        <w:t>金融和证券监管</w:t>
      </w:r>
    </w:p>
    <w:p w14:paraId="615A87EB" w14:textId="77777777" w:rsidR="00CD7021" w:rsidRDefault="00CD7021" w:rsidP="00CD7021">
      <w:pPr>
        <w:pStyle w:val="af5"/>
        <w:numPr>
          <w:ilvl w:val="0"/>
          <w:numId w:val="13"/>
        </w:numPr>
        <w:spacing w:before="120"/>
        <w:ind w:left="690" w:hanging="240"/>
        <w:rPr>
          <w:rFonts w:ascii="宋体" w:eastAsia="宋体" w:hAnsi="Times New Roman"/>
          <w:color w:val="000000"/>
        </w:rPr>
      </w:pPr>
      <w:r w:rsidRPr="00CD7021">
        <w:rPr>
          <w:rFonts w:ascii="宋体" w:eastAsia="宋体" w:hAnsi="Times New Roman" w:hint="eastAsia"/>
          <w:color w:val="000000"/>
        </w:rPr>
        <w:t>就中国金融监管及金融业务牌照事宜向国际金融机构客户提供咨询；</w:t>
      </w:r>
    </w:p>
    <w:p w14:paraId="6BABE9CE" w14:textId="77777777" w:rsidR="00CD7021" w:rsidRDefault="00CD7021" w:rsidP="00CD7021">
      <w:pPr>
        <w:pStyle w:val="af5"/>
        <w:numPr>
          <w:ilvl w:val="0"/>
          <w:numId w:val="14"/>
        </w:numPr>
        <w:spacing w:before="120"/>
        <w:ind w:left="690" w:hanging="240"/>
        <w:rPr>
          <w:rFonts w:ascii="宋体" w:eastAsia="宋体" w:hAnsi="Times New Roman"/>
          <w:color w:val="000000"/>
        </w:rPr>
      </w:pPr>
      <w:r w:rsidRPr="00CD7021">
        <w:rPr>
          <w:rFonts w:ascii="宋体" w:eastAsia="宋体" w:hAnsi="Times New Roman" w:hint="eastAsia"/>
          <w:color w:val="000000"/>
        </w:rPr>
        <w:t>就美国证券法合规及美国证监会申报事宜向美国上市公司及投资者提供法律咨询。</w:t>
      </w:r>
    </w:p>
    <w:p w14:paraId="351588A5" w14:textId="77777777" w:rsidR="00CD7021" w:rsidRDefault="00CD7021" w:rsidP="00CD7021">
      <w:pPr>
        <w:pStyle w:val="af5"/>
        <w:spacing w:after="0" w:line="480" w:lineRule="auto"/>
        <w:rPr>
          <w:rFonts w:ascii="宋体" w:eastAsia="宋体" w:hAnsi="宋体"/>
          <w:b/>
          <w:sz w:val="24"/>
        </w:rPr>
      </w:pPr>
      <w:r w:rsidRPr="00CD7021">
        <w:rPr>
          <w:rFonts w:ascii="宋体" w:eastAsia="宋体" w:hAnsi="宋体" w:hint="eastAsia"/>
          <w:b/>
          <w:sz w:val="24"/>
        </w:rPr>
        <w:t>教育背景</w:t>
      </w:r>
    </w:p>
    <w:p w14:paraId="1F26ADEA" w14:textId="77777777" w:rsidR="00CD7021" w:rsidRDefault="00CD7021" w:rsidP="00CD7021">
      <w:pPr>
        <w:pStyle w:val="af5"/>
        <w:numPr>
          <w:ilvl w:val="0"/>
          <w:numId w:val="15"/>
        </w:numPr>
        <w:spacing w:before="120"/>
        <w:ind w:left="690" w:hanging="240"/>
        <w:rPr>
          <w:rFonts w:ascii="宋体" w:eastAsia="宋体" w:hAnsi="Times New Roman"/>
          <w:color w:val="000000"/>
        </w:rPr>
      </w:pPr>
      <w:r w:rsidRPr="00CD7021">
        <w:rPr>
          <w:rFonts w:ascii="宋体" w:eastAsia="宋体" w:hAnsi="Times New Roman" w:hint="eastAsia"/>
          <w:color w:val="000000"/>
        </w:rPr>
        <w:t>乔治城大学法学院，法学硕士</w:t>
      </w:r>
    </w:p>
    <w:p w14:paraId="5AABAF17" w14:textId="77777777" w:rsidR="00CD7021" w:rsidRDefault="00CD7021" w:rsidP="00CD7021">
      <w:pPr>
        <w:pStyle w:val="af5"/>
        <w:numPr>
          <w:ilvl w:val="0"/>
          <w:numId w:val="16"/>
        </w:numPr>
        <w:spacing w:before="120"/>
        <w:ind w:left="690" w:hanging="240"/>
        <w:rPr>
          <w:rFonts w:ascii="宋体" w:eastAsia="宋体" w:hAnsi="Times New Roman"/>
          <w:color w:val="000000"/>
        </w:rPr>
      </w:pPr>
      <w:r w:rsidRPr="00CD7021">
        <w:rPr>
          <w:rFonts w:ascii="宋体" w:eastAsia="宋体" w:hAnsi="Times New Roman" w:hint="eastAsia"/>
          <w:color w:val="000000"/>
        </w:rPr>
        <w:t>北京大学法学院，法学学士</w:t>
      </w:r>
    </w:p>
    <w:p w14:paraId="200864D6" w14:textId="77777777" w:rsidR="00CD7021" w:rsidRDefault="00CD7021" w:rsidP="00CD7021">
      <w:pPr>
        <w:pStyle w:val="af5"/>
        <w:spacing w:after="0" w:line="480" w:lineRule="auto"/>
        <w:rPr>
          <w:rFonts w:ascii="宋体" w:eastAsia="宋体" w:hAnsi="宋体"/>
          <w:b/>
          <w:sz w:val="24"/>
        </w:rPr>
      </w:pPr>
      <w:r w:rsidRPr="00CD7021">
        <w:rPr>
          <w:rFonts w:ascii="宋体" w:eastAsia="宋体" w:hAnsi="宋体" w:hint="eastAsia"/>
          <w:b/>
          <w:sz w:val="24"/>
        </w:rPr>
        <w:t>执业资格</w:t>
      </w:r>
    </w:p>
    <w:p w14:paraId="2086D3BB" w14:textId="77777777" w:rsidR="00CD7021" w:rsidRDefault="00CD7021" w:rsidP="00CD7021">
      <w:pPr>
        <w:pStyle w:val="af5"/>
        <w:numPr>
          <w:ilvl w:val="0"/>
          <w:numId w:val="17"/>
        </w:numPr>
        <w:spacing w:before="120"/>
        <w:ind w:left="690" w:hanging="240"/>
        <w:rPr>
          <w:rFonts w:ascii="宋体" w:eastAsia="宋体" w:hAnsi="Times New Roman"/>
          <w:color w:val="000000"/>
        </w:rPr>
      </w:pPr>
      <w:r w:rsidRPr="00CD7021">
        <w:rPr>
          <w:rFonts w:ascii="宋体" w:eastAsia="宋体" w:hAnsi="Times New Roman" w:hint="eastAsia"/>
          <w:color w:val="000000"/>
        </w:rPr>
        <w:t>中华人民共和国执业律师</w:t>
      </w:r>
    </w:p>
    <w:p w14:paraId="108C5968" w14:textId="77777777" w:rsidR="00CD7021" w:rsidRDefault="00CD7021" w:rsidP="00CD7021">
      <w:pPr>
        <w:pStyle w:val="af5"/>
        <w:numPr>
          <w:ilvl w:val="0"/>
          <w:numId w:val="18"/>
        </w:numPr>
        <w:spacing w:before="120"/>
        <w:ind w:left="690" w:hanging="240"/>
        <w:rPr>
          <w:rFonts w:ascii="宋体" w:eastAsia="宋体" w:hAnsi="Times New Roman"/>
          <w:color w:val="000000"/>
        </w:rPr>
      </w:pPr>
      <w:r w:rsidRPr="00CD7021">
        <w:rPr>
          <w:rFonts w:ascii="宋体" w:eastAsia="宋体" w:hAnsi="Times New Roman" w:hint="eastAsia"/>
          <w:color w:val="000000"/>
        </w:rPr>
        <w:t>美国纽约州律师资格</w:t>
      </w:r>
    </w:p>
    <w:p w14:paraId="6D68089C" w14:textId="77777777" w:rsidR="00CD7021" w:rsidRDefault="00CD7021" w:rsidP="00CD7021">
      <w:pPr>
        <w:pStyle w:val="af5"/>
        <w:spacing w:after="0" w:line="480" w:lineRule="auto"/>
        <w:rPr>
          <w:rFonts w:ascii="宋体" w:eastAsia="宋体" w:hAnsi="宋体"/>
          <w:b/>
          <w:sz w:val="24"/>
        </w:rPr>
      </w:pPr>
      <w:r w:rsidRPr="00CD7021">
        <w:rPr>
          <w:rFonts w:ascii="宋体" w:eastAsia="宋体" w:hAnsi="宋体" w:hint="eastAsia"/>
          <w:b/>
          <w:sz w:val="24"/>
        </w:rPr>
        <w:t>职业背景</w:t>
      </w:r>
    </w:p>
    <w:p w14:paraId="51B45E58" w14:textId="77777777" w:rsidR="00CD7021" w:rsidRDefault="00CD7021" w:rsidP="00CD7021">
      <w:pPr>
        <w:pStyle w:val="af5"/>
        <w:numPr>
          <w:ilvl w:val="0"/>
          <w:numId w:val="19"/>
        </w:numPr>
        <w:spacing w:before="120"/>
        <w:ind w:left="690" w:hanging="240"/>
        <w:rPr>
          <w:rFonts w:ascii="宋体" w:eastAsia="宋体" w:hAnsi="Times New Roman"/>
          <w:color w:val="000000"/>
        </w:rPr>
      </w:pPr>
      <w:r w:rsidRPr="00CD7021">
        <w:rPr>
          <w:rFonts w:ascii="宋体" w:eastAsia="宋体" w:hAnsi="Times New Roman" w:hint="eastAsia"/>
          <w:color w:val="000000"/>
        </w:rPr>
        <w:t>由思宇律师</w:t>
      </w:r>
      <w:r w:rsidRPr="00CD7021">
        <w:rPr>
          <w:rFonts w:ascii="宋体" w:eastAsia="宋体" w:hAnsi="Times New Roman"/>
          <w:color w:val="000000"/>
        </w:rPr>
        <w:t>2018年加入方达律师事务所。在此之前，他曾在金杜律师事务所从事跨境资本市场业务。</w:t>
      </w:r>
    </w:p>
    <w:p w14:paraId="3CD6B762" w14:textId="77777777" w:rsidR="00CD7021" w:rsidRDefault="00CD7021" w:rsidP="00CD7021">
      <w:pPr>
        <w:pStyle w:val="af5"/>
        <w:spacing w:after="0" w:line="480" w:lineRule="auto"/>
        <w:rPr>
          <w:rFonts w:ascii="宋体" w:eastAsia="宋体" w:hAnsi="宋体"/>
          <w:b/>
          <w:sz w:val="24"/>
        </w:rPr>
      </w:pPr>
      <w:r w:rsidRPr="00CD7021">
        <w:rPr>
          <w:rFonts w:ascii="宋体" w:eastAsia="宋体" w:hAnsi="宋体" w:hint="eastAsia"/>
          <w:b/>
          <w:sz w:val="24"/>
        </w:rPr>
        <w:t>其他信息</w:t>
      </w:r>
    </w:p>
    <w:p w14:paraId="0531277A" w14:textId="77777777" w:rsidR="00CD7021" w:rsidRDefault="00CD7021" w:rsidP="00CD7021">
      <w:pPr>
        <w:pStyle w:val="af5"/>
        <w:spacing w:after="0" w:line="480" w:lineRule="auto"/>
        <w:rPr>
          <w:rFonts w:ascii="宋体" w:eastAsia="宋体" w:hAnsi="宋体"/>
          <w:b/>
          <w:sz w:val="24"/>
        </w:rPr>
      </w:pPr>
      <w:r w:rsidRPr="00CD7021">
        <w:rPr>
          <w:rFonts w:ascii="宋体" w:eastAsia="宋体" w:hAnsi="宋体" w:hint="eastAsia"/>
          <w:b/>
          <w:sz w:val="24"/>
        </w:rPr>
        <w:t>获奖情况</w:t>
      </w:r>
    </w:p>
    <w:p w14:paraId="4F0A196B" w14:textId="02E0AB01" w:rsidR="00A46A04" w:rsidRPr="00CD7021" w:rsidRDefault="00CD7021" w:rsidP="00CD7021">
      <w:pPr>
        <w:pStyle w:val="af5"/>
        <w:numPr>
          <w:ilvl w:val="0"/>
          <w:numId w:val="20"/>
        </w:numPr>
        <w:spacing w:before="120"/>
        <w:ind w:left="690" w:hanging="240"/>
        <w:rPr>
          <w:rFonts w:ascii="宋体" w:eastAsia="宋体" w:hAnsi="Times New Roman"/>
          <w:color w:val="000000"/>
        </w:rPr>
      </w:pPr>
      <w:r w:rsidRPr="00CD7021">
        <w:rPr>
          <w:rFonts w:ascii="宋体" w:eastAsia="宋体" w:hAnsi="Times New Roman" w:hint="eastAsia"/>
          <w:color w:val="000000"/>
        </w:rPr>
        <w:t>由律师于</w:t>
      </w:r>
      <w:r w:rsidRPr="00CD7021">
        <w:rPr>
          <w:rFonts w:ascii="宋体" w:eastAsia="宋体" w:hAnsi="Times New Roman"/>
          <w:color w:val="000000"/>
        </w:rPr>
        <w:t>2024-2025年连续获国际著名法律评论机构IFLR1000评为债务资本市场</w:t>
      </w:r>
      <w:r w:rsidRPr="00CD7021">
        <w:rPr>
          <w:rFonts w:ascii="宋体" w:eastAsia="宋体" w:hAnsi="Times New Roman"/>
          <w:color w:val="000000"/>
        </w:rPr>
        <w:t>“</w:t>
      </w:r>
      <w:r w:rsidRPr="00CD7021">
        <w:rPr>
          <w:rFonts w:ascii="宋体" w:eastAsia="宋体" w:hAnsi="Times New Roman"/>
          <w:color w:val="000000"/>
        </w:rPr>
        <w:t>新星律师</w:t>
      </w:r>
      <w:r w:rsidRPr="00CD7021">
        <w:rPr>
          <w:rFonts w:ascii="宋体" w:eastAsia="宋体" w:hAnsi="Times New Roman"/>
          <w:color w:val="000000"/>
        </w:rPr>
        <w:t>”</w:t>
      </w:r>
      <w:r w:rsidRPr="00CD7021">
        <w:rPr>
          <w:rFonts w:ascii="宋体" w:eastAsia="宋体" w:hAnsi="Times New Roman"/>
          <w:color w:val="000000"/>
        </w:rPr>
        <w:t>（Rising Star），并于2025年被《法律500强》(Legal 500)评为大大中华区资本市场</w:t>
      </w:r>
      <w:r w:rsidRPr="00CD7021">
        <w:rPr>
          <w:rFonts w:ascii="宋体" w:eastAsia="宋体" w:hAnsi="Times New Roman"/>
          <w:color w:val="000000"/>
        </w:rPr>
        <w:t>“</w:t>
      </w:r>
      <w:r w:rsidRPr="00CD7021">
        <w:rPr>
          <w:rFonts w:ascii="宋体" w:eastAsia="宋体" w:hAnsi="Times New Roman"/>
          <w:color w:val="000000"/>
        </w:rPr>
        <w:t>后起之秀</w:t>
      </w:r>
      <w:r w:rsidRPr="00CD7021">
        <w:rPr>
          <w:rFonts w:ascii="宋体" w:eastAsia="宋体" w:hAnsi="Times New Roman"/>
          <w:color w:val="000000"/>
        </w:rPr>
        <w:t>”</w:t>
      </w:r>
      <w:r w:rsidRPr="00CD7021">
        <w:rPr>
          <w:rFonts w:ascii="宋体" w:eastAsia="宋体" w:hAnsi="Times New Roman"/>
          <w:color w:val="000000"/>
        </w:rPr>
        <w:t>（Leading Associate）。</w:t>
      </w:r>
    </w:p>
    <w:sectPr w:rsidR="00A46A04" w:rsidRPr="00CD702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715B3"/>
    <w:multiLevelType w:val="singleLevel"/>
    <w:tmpl w:val="11A2E40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02B22E9"/>
    <w:multiLevelType w:val="singleLevel"/>
    <w:tmpl w:val="960A69A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820020"/>
    <w:multiLevelType w:val="singleLevel"/>
    <w:tmpl w:val="7BFA9B7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E063FF7"/>
    <w:multiLevelType w:val="singleLevel"/>
    <w:tmpl w:val="001818A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80F3CA6"/>
    <w:multiLevelType w:val="singleLevel"/>
    <w:tmpl w:val="001818A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8121A2C"/>
    <w:multiLevelType w:val="singleLevel"/>
    <w:tmpl w:val="159A182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94F1BEE"/>
    <w:multiLevelType w:val="singleLevel"/>
    <w:tmpl w:val="1C26492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4963609"/>
    <w:multiLevelType w:val="singleLevel"/>
    <w:tmpl w:val="EC8C5B5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89E6F29"/>
    <w:multiLevelType w:val="singleLevel"/>
    <w:tmpl w:val="83D62A8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AB773D7"/>
    <w:multiLevelType w:val="singleLevel"/>
    <w:tmpl w:val="5B704DB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30C0C31"/>
    <w:multiLevelType w:val="singleLevel"/>
    <w:tmpl w:val="9F94846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48831A4B"/>
    <w:multiLevelType w:val="singleLevel"/>
    <w:tmpl w:val="3018728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4A1735E"/>
    <w:multiLevelType w:val="singleLevel"/>
    <w:tmpl w:val="3CE0D75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F6F7916"/>
    <w:multiLevelType w:val="singleLevel"/>
    <w:tmpl w:val="3262277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A365B6D"/>
    <w:multiLevelType w:val="singleLevel"/>
    <w:tmpl w:val="B0AA1FD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6032323"/>
    <w:multiLevelType w:val="singleLevel"/>
    <w:tmpl w:val="82FED71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A474C68"/>
    <w:multiLevelType w:val="singleLevel"/>
    <w:tmpl w:val="309899C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AB41CBC"/>
    <w:multiLevelType w:val="singleLevel"/>
    <w:tmpl w:val="00204958"/>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2"/>
  </w:num>
  <w:num w:numId="3">
    <w:abstractNumId w:val="2"/>
  </w:num>
  <w:num w:numId="4">
    <w:abstractNumId w:val="8"/>
  </w:num>
  <w:num w:numId="5">
    <w:abstractNumId w:val="18"/>
  </w:num>
  <w:num w:numId="6">
    <w:abstractNumId w:val="17"/>
  </w:num>
  <w:num w:numId="7">
    <w:abstractNumId w:val="6"/>
  </w:num>
  <w:num w:numId="8">
    <w:abstractNumId w:val="5"/>
  </w:num>
  <w:num w:numId="9">
    <w:abstractNumId w:val="16"/>
  </w:num>
  <w:num w:numId="10">
    <w:abstractNumId w:val="11"/>
  </w:num>
  <w:num w:numId="11">
    <w:abstractNumId w:val="1"/>
  </w:num>
  <w:num w:numId="12">
    <w:abstractNumId w:val="7"/>
  </w:num>
  <w:num w:numId="13">
    <w:abstractNumId w:val="14"/>
  </w:num>
  <w:num w:numId="14">
    <w:abstractNumId w:val="13"/>
  </w:num>
  <w:num w:numId="15">
    <w:abstractNumId w:val="9"/>
  </w:num>
  <w:num w:numId="16">
    <w:abstractNumId w:val="15"/>
  </w:num>
  <w:num w:numId="17">
    <w:abstractNumId w:val="0"/>
  </w:num>
  <w:num w:numId="18">
    <w:abstractNumId w:val="19"/>
  </w:num>
  <w:num w:numId="19">
    <w:abstractNumId w:val="3"/>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CD7021"/>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D7021"/>
    <w:pPr>
      <w:spacing w:after="120"/>
    </w:pPr>
  </w:style>
  <w:style w:type="character" w:customStyle="1" w:styleId="af6">
    <w:name w:val="正文文本 字符"/>
    <w:basedOn w:val="a0"/>
    <w:link w:val="af5"/>
    <w:uiPriority w:val="99"/>
    <w:rsid w:val="00CD702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00348E-DDE9-4C3C-AFAB-3ABBCAFB90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148</Words>
  <Characters>845</Characters>
  <Application>Microsoft Office Word</Application>
  <DocSecurity>0</DocSecurity>
  <Lines>7</Lines>
  <Paragraphs>1</Paragraphs>
  <ScaleCrop>false</ScaleCrop>
  <Company/>
  <LinksUpToDate>false</LinksUpToDate>
  <CharactersWithSpaces>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2026-10-17T10:04:00Z</dcterms:created>
  <dcterms:modified xsi:type="dcterms:W3CDTF">2026-10-17T10:04:00Z</dcterms:modified>
</cp:coreProperties>
</file>