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0F0C6A" w:rsidR="0049405C" w:rsidRPr="00187BAA" w:rsidRDefault="00BD1BE2" w:rsidP="00BD1BE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D1BE2">
              <w:rPr>
                <w:rFonts w:ascii="宋体" w:eastAsia="宋体" w:hAnsi="Times New Roman" w:hint="eastAsia"/>
                <w:b/>
                <w:color w:val="000000"/>
                <w:sz w:val="48"/>
              </w:rPr>
              <w:t>朱光耀</w:t>
            </w:r>
            <w:bookmarkEnd w:id="0"/>
          </w:p>
          <w:p w14:paraId="706EB16B" w14:textId="745C3E1C" w:rsidR="0049405C" w:rsidRPr="00187BAA" w:rsidRDefault="00BD1BE2" w:rsidP="00BD1BE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D1BE2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11C79EE7" w:rsidR="0049405C" w:rsidRPr="00187BAA" w:rsidRDefault="00BD1BE2" w:rsidP="00BD1BE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D1BE2">
              <w:rPr>
                <w:rFonts w:ascii="宋体" w:eastAsia="宋体" w:hAnsi="Times New Roman"/>
                <w:color w:val="000000"/>
              </w:rPr>
              <w:t xml:space="preserve">+86 21 6263 5807 </w:t>
            </w:r>
            <w:bookmarkEnd w:id="3"/>
          </w:p>
          <w:p w14:paraId="4F910ACA" w14:textId="3227B898" w:rsidR="0049405C" w:rsidRPr="00187BAA" w:rsidRDefault="00BD1BE2" w:rsidP="00BD1BE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D1BE2">
              <w:rPr>
                <w:rFonts w:ascii="宋体" w:eastAsia="宋体" w:hAnsi="Times New Roman"/>
                <w:color w:val="000000"/>
              </w:rPr>
              <w:t>lawrence.zhu@fangdalaw.com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3EBBD0" w:rsidR="0049405C" w:rsidRPr="00187BAA" w:rsidRDefault="00BD1BE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EB82110" wp14:editId="6EDB77F7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8E16D4B" w:rsidR="009465FB" w:rsidRPr="00187BAA" w:rsidRDefault="00BD1BE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D1BE2">
              <w:rPr>
                <w:rFonts w:ascii="宋体" w:eastAsia="宋体" w:hAnsi="Times New Roman" w:hint="eastAsia"/>
                <w:color w:val="000000"/>
                <w:szCs w:val="21"/>
              </w:rPr>
              <w:t>朱光耀律师主要从事并购业务、金融市场监管和一般公司业务。朱光耀律师为知名企业和金融机构的在华投资及业务提供法律服务。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867042" w14:textId="77777777" w:rsidR="00BD1BE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BA3A91" w14:textId="77777777" w:rsidR="00BD1BE2" w:rsidRDefault="00BD1BE2" w:rsidP="00BD1BE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1BE2">
        <w:rPr>
          <w:rFonts w:ascii="宋体" w:eastAsia="宋体" w:hAnsi="宋体" w:hint="eastAsia"/>
          <w:b/>
          <w:sz w:val="24"/>
        </w:rPr>
        <w:t>近期代理的主要案件</w:t>
      </w:r>
    </w:p>
    <w:p w14:paraId="5ADA0148" w14:textId="77777777" w:rsidR="00BD1BE2" w:rsidRDefault="00BD1BE2" w:rsidP="00BD1BE2">
      <w:pPr>
        <w:pStyle w:val="af5"/>
        <w:spacing w:before="12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投资</w:t>
      </w:r>
      <w:r w:rsidRPr="00BD1BE2">
        <w:rPr>
          <w:rFonts w:ascii="宋体" w:eastAsia="宋体" w:hAnsi="Times New Roman"/>
          <w:color w:val="000000"/>
        </w:rPr>
        <w:t>/并购项目</w:t>
      </w:r>
    </w:p>
    <w:p w14:paraId="2498FC77" w14:textId="77777777" w:rsidR="00BD1BE2" w:rsidRDefault="00BD1BE2" w:rsidP="00BD1BE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代表瑞信（</w:t>
      </w:r>
      <w:r w:rsidRPr="00BD1BE2">
        <w:rPr>
          <w:rFonts w:ascii="宋体" w:eastAsia="宋体" w:hAnsi="Times New Roman"/>
          <w:color w:val="000000"/>
        </w:rPr>
        <w:t>Credit Suisse），为其向境内的合资证券公司增资并取得控制权的交易提供法律服务</w:t>
      </w:r>
    </w:p>
    <w:p w14:paraId="5D278BE1" w14:textId="77777777" w:rsidR="00BD1BE2" w:rsidRDefault="00BD1BE2" w:rsidP="00BD1BE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代表星展银行（</w:t>
      </w:r>
      <w:r w:rsidRPr="00BD1BE2">
        <w:rPr>
          <w:rFonts w:ascii="宋体" w:eastAsia="宋体" w:hAnsi="Times New Roman"/>
          <w:color w:val="000000"/>
        </w:rPr>
        <w:t>DBS）在中国的合资证券项目提供法律服务</w:t>
      </w:r>
    </w:p>
    <w:p w14:paraId="4C7ACF5B" w14:textId="77777777" w:rsidR="00BD1BE2" w:rsidRDefault="00BD1BE2" w:rsidP="00BD1BE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代表野村（</w:t>
      </w:r>
      <w:r w:rsidRPr="00BD1BE2">
        <w:rPr>
          <w:rFonts w:ascii="宋体" w:eastAsia="宋体" w:hAnsi="Times New Roman"/>
          <w:color w:val="000000"/>
        </w:rPr>
        <w:t>Nomura）就其在中国设立合资证券公司提供法律服务</w:t>
      </w:r>
    </w:p>
    <w:p w14:paraId="2F84C1E2" w14:textId="77777777" w:rsidR="00BD1BE2" w:rsidRDefault="00BD1BE2" w:rsidP="00BD1BE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代表阿里巴巴投资华泰证券</w:t>
      </w:r>
    </w:p>
    <w:p w14:paraId="468DC393" w14:textId="77777777" w:rsidR="00BD1BE2" w:rsidRDefault="00BD1BE2" w:rsidP="00BD1BE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代表阿里巴巴投资分众传媒</w:t>
      </w:r>
    </w:p>
    <w:p w14:paraId="690A240E" w14:textId="77777777" w:rsidR="00BD1BE2" w:rsidRDefault="00BD1BE2" w:rsidP="00BD1BE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代表一家领先的金融科技公司进行数轮融资</w:t>
      </w:r>
    </w:p>
    <w:p w14:paraId="3FB67005" w14:textId="77777777" w:rsidR="00BD1BE2" w:rsidRDefault="00BD1BE2" w:rsidP="00BD1BE2">
      <w:pPr>
        <w:pStyle w:val="af5"/>
        <w:spacing w:before="12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金融市场监管</w:t>
      </w:r>
    </w:p>
    <w:p w14:paraId="5F3D55F6" w14:textId="77777777" w:rsidR="00BD1BE2" w:rsidRDefault="00BD1BE2" w:rsidP="00BD1BE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向包括巴克莱银行（</w:t>
      </w:r>
      <w:r w:rsidRPr="00BD1BE2">
        <w:rPr>
          <w:rFonts w:ascii="宋体" w:eastAsia="宋体" w:hAnsi="Times New Roman"/>
          <w:color w:val="000000"/>
        </w:rPr>
        <w:t>Barclays）、城堡投资（Citadel）、花旗（Citi）、瑞信（Credit Suisse）、星展银行（DBS）、高盛（Goldman Sachs）、摩根士丹利（Morgan Stanley）、野村（Nomura）、桑坦德银行（Santander）、渣打（Standard Chartered）、瑞银（UBS）、华平（Warburg Pincus）在内的国际金融机构在华有关的金融业务合规提供法律咨询服务，包括可行性研究、持牌要求、产品设计、治理要求等</w:t>
      </w:r>
    </w:p>
    <w:p w14:paraId="180D6FF7" w14:textId="77777777" w:rsidR="00BD1BE2" w:rsidRDefault="00BD1BE2" w:rsidP="00BD1BE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为多家境内外金融机构及投资者提供衍生品交易有关法律服务，包括法律结构设计和文本准备、提供终止净额结算相关分析等，涉及货币、商品、股权、黄金等多类产品</w:t>
      </w:r>
    </w:p>
    <w:p w14:paraId="181A61DE" w14:textId="77777777" w:rsidR="00BD1BE2" w:rsidRDefault="00BD1BE2" w:rsidP="00BD1BE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代表多家境内外金融机构就跨境投资业务提供法律咨询服务，包括</w:t>
      </w:r>
      <w:r w:rsidRPr="00BD1BE2">
        <w:rPr>
          <w:rFonts w:ascii="宋体" w:eastAsia="宋体" w:hAnsi="Times New Roman"/>
          <w:color w:val="000000"/>
        </w:rPr>
        <w:t>QFII/RQFII、QDII/RQDII、QDIE、QDLP、QFLP、沪深港通、债券通、CDR/GDR（沪伦通）等</w:t>
      </w:r>
    </w:p>
    <w:p w14:paraId="084542DF" w14:textId="77777777" w:rsidR="00BD1BE2" w:rsidRDefault="00BD1BE2" w:rsidP="00BD1BE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代表蚂蚁金服为其境内外市场各类型互联网融资业务、金融科技相关业务以及基金销售相关业务提供法律支持</w:t>
      </w:r>
    </w:p>
    <w:p w14:paraId="106FD377" w14:textId="77777777" w:rsidR="00BD1BE2" w:rsidRDefault="00BD1BE2" w:rsidP="00BD1BE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1BE2">
        <w:rPr>
          <w:rFonts w:ascii="宋体" w:eastAsia="宋体" w:hAnsi="宋体" w:hint="eastAsia"/>
          <w:b/>
          <w:sz w:val="24"/>
        </w:rPr>
        <w:t>教育背景</w:t>
      </w:r>
    </w:p>
    <w:p w14:paraId="7F54AB16" w14:textId="77777777" w:rsidR="00BD1BE2" w:rsidRDefault="00BD1BE2" w:rsidP="00BD1BE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上海交通大学，法学硕士</w:t>
      </w:r>
    </w:p>
    <w:p w14:paraId="35B997A6" w14:textId="77777777" w:rsidR="00BD1BE2" w:rsidRDefault="00BD1BE2" w:rsidP="00BD1BE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上海交通大学，法学学士</w:t>
      </w:r>
    </w:p>
    <w:p w14:paraId="01FD0BC7" w14:textId="77777777" w:rsidR="00BD1BE2" w:rsidRDefault="00BD1BE2" w:rsidP="00BD1BE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1BE2">
        <w:rPr>
          <w:rFonts w:ascii="宋体" w:eastAsia="宋体" w:hAnsi="宋体" w:hint="eastAsia"/>
          <w:b/>
          <w:sz w:val="24"/>
        </w:rPr>
        <w:t>执业资格</w:t>
      </w:r>
    </w:p>
    <w:p w14:paraId="3F58583D" w14:textId="77777777" w:rsidR="00BD1BE2" w:rsidRDefault="00BD1BE2" w:rsidP="00BD1BE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中华人民共和国执业律师</w:t>
      </w:r>
    </w:p>
    <w:p w14:paraId="6D4947DD" w14:textId="77777777" w:rsidR="00BD1BE2" w:rsidRDefault="00BD1BE2" w:rsidP="00BD1BE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D1BE2">
        <w:rPr>
          <w:rFonts w:ascii="宋体" w:eastAsia="宋体" w:hAnsi="宋体" w:hint="eastAsia"/>
          <w:b/>
          <w:sz w:val="24"/>
        </w:rPr>
        <w:t>职业背景</w:t>
      </w:r>
    </w:p>
    <w:p w14:paraId="4F0A196B" w14:textId="33429DDA" w:rsidR="00A46A04" w:rsidRPr="00BD1BE2" w:rsidRDefault="00BD1BE2" w:rsidP="00BD1BE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D1BE2">
        <w:rPr>
          <w:rFonts w:ascii="宋体" w:eastAsia="宋体" w:hAnsi="Times New Roman" w:hint="eastAsia"/>
          <w:color w:val="000000"/>
        </w:rPr>
        <w:t>朱光耀律师于</w:t>
      </w:r>
      <w:r w:rsidRPr="00BD1BE2">
        <w:rPr>
          <w:rFonts w:ascii="宋体" w:eastAsia="宋体" w:hAnsi="Times New Roman"/>
          <w:color w:val="000000"/>
        </w:rPr>
        <w:t>2016年加入方达律师事务所。</w:t>
      </w:r>
    </w:p>
    <w:sectPr w:rsidR="00A46A04" w:rsidRPr="00BD1BE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467F"/>
    <w:multiLevelType w:val="singleLevel"/>
    <w:tmpl w:val="B6EE6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2D37E5"/>
    <w:multiLevelType w:val="singleLevel"/>
    <w:tmpl w:val="3B5C9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1C7B82"/>
    <w:multiLevelType w:val="singleLevel"/>
    <w:tmpl w:val="C824C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105628"/>
    <w:multiLevelType w:val="singleLevel"/>
    <w:tmpl w:val="2486B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195ABA"/>
    <w:multiLevelType w:val="singleLevel"/>
    <w:tmpl w:val="63C85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1D4AD2"/>
    <w:multiLevelType w:val="singleLevel"/>
    <w:tmpl w:val="3B5C9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1A26D4"/>
    <w:multiLevelType w:val="singleLevel"/>
    <w:tmpl w:val="9490C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361A13"/>
    <w:multiLevelType w:val="singleLevel"/>
    <w:tmpl w:val="CFC67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127714"/>
    <w:multiLevelType w:val="singleLevel"/>
    <w:tmpl w:val="BEA8C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534862"/>
    <w:multiLevelType w:val="singleLevel"/>
    <w:tmpl w:val="D2EC5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1A4205A"/>
    <w:multiLevelType w:val="singleLevel"/>
    <w:tmpl w:val="71649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3F4684"/>
    <w:multiLevelType w:val="singleLevel"/>
    <w:tmpl w:val="A642D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69286C6C"/>
    <w:multiLevelType w:val="singleLevel"/>
    <w:tmpl w:val="5E821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2AC7F4D"/>
    <w:multiLevelType w:val="singleLevel"/>
    <w:tmpl w:val="1B563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DA57A32"/>
    <w:multiLevelType w:val="singleLevel"/>
    <w:tmpl w:val="6F544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6"/>
  </w:num>
  <w:num w:numId="5">
    <w:abstractNumId w:val="12"/>
  </w:num>
  <w:num w:numId="6">
    <w:abstractNumId w:val="15"/>
  </w:num>
  <w:num w:numId="7">
    <w:abstractNumId w:val="11"/>
  </w:num>
  <w:num w:numId="8">
    <w:abstractNumId w:val="14"/>
  </w:num>
  <w:num w:numId="9">
    <w:abstractNumId w:val="16"/>
  </w:num>
  <w:num w:numId="10">
    <w:abstractNumId w:val="0"/>
  </w:num>
  <w:num w:numId="11">
    <w:abstractNumId w:val="7"/>
  </w:num>
  <w:num w:numId="12">
    <w:abstractNumId w:val="3"/>
  </w:num>
  <w:num w:numId="13">
    <w:abstractNumId w:val="2"/>
  </w:num>
  <w:num w:numId="14">
    <w:abstractNumId w:val="10"/>
  </w:num>
  <w:num w:numId="15">
    <w:abstractNumId w:val="8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D1BE2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D1BE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D1BE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327018-0F14-4C94-AF33-20EA0492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2026-10-20T01:11:00Z</dcterms:created>
  <dcterms:modified xsi:type="dcterms:W3CDTF">2026-10-20T01:11:00Z</dcterms:modified>
</cp:coreProperties>
</file>