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937A73E" w:rsidR="0049405C" w:rsidRPr="00187BAA" w:rsidRDefault="00640B46" w:rsidP="00640B46">
            <w:pPr>
              <w:spacing w:line="720" w:lineRule="auto"/>
              <w:rPr>
                <w:rFonts w:ascii="宋体" w:eastAsia="宋体" w:hAnsi="宋体"/>
                <w:color w:val="545551"/>
              </w:rPr>
            </w:pPr>
            <w:bookmarkStart w:id="0" w:name="xingming"/>
            <w:bookmarkStart w:id="1" w:name="_GoBack"/>
            <w:bookmarkEnd w:id="1"/>
            <w:r w:rsidRPr="00640B46">
              <w:rPr>
                <w:rFonts w:ascii="宋体" w:eastAsia="宋体" w:hAnsi="Times New Roman" w:hint="eastAsia"/>
                <w:b/>
                <w:color w:val="000000"/>
                <w:sz w:val="48"/>
              </w:rPr>
              <w:t>胡海盼</w:t>
            </w:r>
            <w:bookmarkEnd w:id="0"/>
          </w:p>
          <w:p w14:paraId="706EB16B" w14:textId="0717A46F" w:rsidR="0049405C" w:rsidRPr="00187BAA" w:rsidRDefault="00640B46" w:rsidP="00640B46">
            <w:pPr>
              <w:spacing w:line="360" w:lineRule="auto"/>
              <w:rPr>
                <w:rFonts w:ascii="宋体" w:eastAsia="宋体" w:hAnsi="宋体"/>
                <w:b/>
                <w:bCs/>
                <w:color w:val="545551"/>
              </w:rPr>
            </w:pPr>
            <w:bookmarkStart w:id="2" w:name="didian"/>
            <w:r w:rsidRPr="00640B46">
              <w:rPr>
                <w:rFonts w:ascii="宋体" w:eastAsia="宋体" w:hAnsi="Times New Roman" w:hint="eastAsia"/>
                <w:b/>
                <w:bCs/>
                <w:color w:val="000000"/>
              </w:rPr>
              <w:t>资深律师·深圳</w:t>
            </w:r>
            <w:bookmarkEnd w:id="2"/>
          </w:p>
          <w:p w14:paraId="6199424A" w14:textId="310BDE90" w:rsidR="0049405C" w:rsidRPr="00187BAA" w:rsidRDefault="00640B46" w:rsidP="00640B46">
            <w:pPr>
              <w:spacing w:line="360" w:lineRule="auto"/>
              <w:rPr>
                <w:rFonts w:ascii="宋体" w:eastAsia="宋体" w:hAnsi="宋体"/>
                <w:color w:val="545551"/>
              </w:rPr>
            </w:pPr>
            <w:bookmarkStart w:id="3" w:name="dianhua"/>
            <w:r w:rsidRPr="00640B46">
              <w:rPr>
                <w:rFonts w:ascii="宋体" w:eastAsia="宋体" w:hAnsi="Times New Roman"/>
                <w:color w:val="000000"/>
              </w:rPr>
              <w:t xml:space="preserve">+86 755 8159 3960 </w:t>
            </w:r>
            <w:bookmarkEnd w:id="3"/>
          </w:p>
          <w:p w14:paraId="4F910ACA" w14:textId="2F66028B" w:rsidR="0049405C" w:rsidRPr="00187BAA" w:rsidRDefault="00640B46" w:rsidP="00640B46">
            <w:pPr>
              <w:spacing w:line="360" w:lineRule="auto"/>
              <w:rPr>
                <w:rFonts w:ascii="宋体" w:eastAsia="宋体" w:hAnsi="宋体"/>
                <w:color w:val="000000"/>
              </w:rPr>
            </w:pPr>
            <w:bookmarkStart w:id="4" w:name="youxiang"/>
            <w:r w:rsidRPr="00640B46">
              <w:rPr>
                <w:rFonts w:ascii="宋体" w:eastAsia="宋体" w:hAnsi="Times New Roman"/>
                <w:color w:val="000000"/>
              </w:rPr>
              <w:t>haipan.hu@fangdalaw.com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C0178DC" w:rsidR="0049405C" w:rsidRPr="00187BAA" w:rsidRDefault="00640B4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F867FA5" wp14:editId="50100540">
                  <wp:extent cx="1651000" cy="23114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3114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77C6C3A" w:rsidR="009465FB" w:rsidRPr="00187BAA" w:rsidRDefault="00640B46" w:rsidP="007177F3">
            <w:pPr>
              <w:rPr>
                <w:rFonts w:ascii="宋体" w:eastAsia="宋体" w:hAnsi="宋体"/>
                <w:color w:val="000000"/>
                <w:szCs w:val="21"/>
              </w:rPr>
            </w:pPr>
            <w:bookmarkStart w:id="6" w:name="zhiyelingyu"/>
            <w:r w:rsidRPr="00640B46">
              <w:rPr>
                <w:rFonts w:ascii="宋体" w:eastAsia="宋体" w:hAnsi="Times New Roman" w:hint="eastAsia"/>
                <w:color w:val="000000"/>
                <w:szCs w:val="21"/>
              </w:rPr>
              <w:t>胡律师的业务领域主要集中在并购、私募股权投资、境外投资以及一般公司业务。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5CBB54A" w14:textId="77777777" w:rsidR="00640B4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BF085B6" w14:textId="77777777" w:rsidR="00640B46" w:rsidRDefault="00640B46" w:rsidP="00640B46">
      <w:pPr>
        <w:pStyle w:val="af5"/>
        <w:spacing w:after="0" w:line="480" w:lineRule="auto"/>
        <w:rPr>
          <w:rFonts w:ascii="宋体" w:eastAsia="宋体" w:hAnsi="宋体"/>
          <w:b/>
          <w:sz w:val="24"/>
        </w:rPr>
      </w:pPr>
      <w:r w:rsidRPr="00640B46">
        <w:rPr>
          <w:rFonts w:ascii="宋体" w:eastAsia="宋体" w:hAnsi="宋体" w:hint="eastAsia"/>
          <w:b/>
          <w:sz w:val="24"/>
        </w:rPr>
        <w:t>近期代理的主要案件</w:t>
      </w:r>
    </w:p>
    <w:p w14:paraId="173D9D26" w14:textId="77777777" w:rsidR="00640B46" w:rsidRDefault="00640B46" w:rsidP="00640B46">
      <w:pPr>
        <w:pStyle w:val="af5"/>
        <w:spacing w:before="120"/>
        <w:rPr>
          <w:rFonts w:ascii="宋体" w:eastAsia="宋体" w:hAnsi="Times New Roman"/>
          <w:color w:val="000000"/>
        </w:rPr>
      </w:pPr>
    </w:p>
    <w:p w14:paraId="2DB4E0C6" w14:textId="77777777" w:rsidR="00640B46" w:rsidRDefault="00640B46" w:rsidP="00640B46">
      <w:pPr>
        <w:pStyle w:val="af5"/>
        <w:numPr>
          <w:ilvl w:val="0"/>
          <w:numId w:val="4"/>
        </w:numPr>
        <w:spacing w:before="120"/>
        <w:ind w:left="690" w:hanging="240"/>
        <w:rPr>
          <w:rFonts w:ascii="宋体" w:eastAsia="宋体" w:hAnsi="Times New Roman"/>
          <w:color w:val="000000"/>
        </w:rPr>
      </w:pPr>
      <w:r w:rsidRPr="00640B46">
        <w:rPr>
          <w:rFonts w:ascii="宋体" w:eastAsia="宋体" w:hAnsi="Times New Roman" w:hint="eastAsia"/>
          <w:color w:val="000000"/>
        </w:rPr>
        <w:t>代表阿里巴巴及蚂蚁金服参与多起</w:t>
      </w:r>
      <w:r w:rsidRPr="00640B46">
        <w:rPr>
          <w:rFonts w:ascii="宋体" w:eastAsia="宋体" w:hAnsi="Times New Roman"/>
          <w:color w:val="000000"/>
        </w:rPr>
        <w:t>TMT、制造业和零售业等多个行业企业战略投资和合作、投资以及全资收购并提供法律服务</w:t>
      </w:r>
    </w:p>
    <w:p w14:paraId="76CB7DDD" w14:textId="77777777" w:rsidR="00640B46" w:rsidRDefault="00640B46" w:rsidP="00640B46">
      <w:pPr>
        <w:pStyle w:val="af5"/>
        <w:numPr>
          <w:ilvl w:val="0"/>
          <w:numId w:val="5"/>
        </w:numPr>
        <w:spacing w:before="120"/>
        <w:ind w:left="690" w:hanging="240"/>
        <w:rPr>
          <w:rFonts w:ascii="宋体" w:eastAsia="宋体" w:hAnsi="Times New Roman"/>
          <w:color w:val="000000"/>
        </w:rPr>
      </w:pPr>
      <w:r w:rsidRPr="00640B46">
        <w:rPr>
          <w:rFonts w:ascii="宋体" w:eastAsia="宋体" w:hAnsi="Times New Roman" w:hint="eastAsia"/>
          <w:color w:val="000000"/>
        </w:rPr>
        <w:t>代表</w:t>
      </w:r>
      <w:r w:rsidRPr="00640B46">
        <w:rPr>
          <w:rFonts w:ascii="宋体" w:eastAsia="宋体" w:hAnsi="Times New Roman"/>
          <w:color w:val="000000"/>
        </w:rPr>
        <w:t>TCL科技（000100. SZ）/TCL华星，作为牵头法律顾问以约11亿美金对价战略收购三星苏州第8.5代LCD生产线业务</w:t>
      </w:r>
    </w:p>
    <w:p w14:paraId="5DE90F88" w14:textId="77777777" w:rsidR="00640B46" w:rsidRDefault="00640B46" w:rsidP="00640B46">
      <w:pPr>
        <w:pStyle w:val="af5"/>
        <w:numPr>
          <w:ilvl w:val="0"/>
          <w:numId w:val="6"/>
        </w:numPr>
        <w:spacing w:before="120"/>
        <w:ind w:left="690" w:hanging="240"/>
        <w:rPr>
          <w:rFonts w:ascii="宋体" w:eastAsia="宋体" w:hAnsi="Times New Roman"/>
          <w:color w:val="000000"/>
        </w:rPr>
      </w:pPr>
      <w:r w:rsidRPr="00640B46">
        <w:rPr>
          <w:rFonts w:ascii="宋体" w:eastAsia="宋体" w:hAnsi="Times New Roman" w:hint="eastAsia"/>
          <w:color w:val="000000"/>
        </w:rPr>
        <w:t>代表</w:t>
      </w:r>
      <w:r w:rsidRPr="00640B46">
        <w:rPr>
          <w:rFonts w:ascii="宋体" w:eastAsia="宋体" w:hAnsi="Times New Roman"/>
          <w:color w:val="000000"/>
        </w:rPr>
        <w:t>TCL华星设立与三安半导体（600703.SH）的合资项目（合资公司将从事 Micro-LED 显示技术的研发）</w:t>
      </w:r>
    </w:p>
    <w:p w14:paraId="4E6C8A65" w14:textId="77777777" w:rsidR="00640B46" w:rsidRDefault="00640B46" w:rsidP="00640B46">
      <w:pPr>
        <w:pStyle w:val="af5"/>
        <w:numPr>
          <w:ilvl w:val="0"/>
          <w:numId w:val="7"/>
        </w:numPr>
        <w:spacing w:before="120"/>
        <w:ind w:left="690" w:hanging="240"/>
        <w:rPr>
          <w:rFonts w:ascii="宋体" w:eastAsia="宋体" w:hAnsi="Times New Roman"/>
          <w:color w:val="000000"/>
        </w:rPr>
      </w:pPr>
      <w:r w:rsidRPr="00640B46">
        <w:rPr>
          <w:rFonts w:ascii="宋体" w:eastAsia="宋体" w:hAnsi="Times New Roman" w:hint="eastAsia"/>
          <w:color w:val="000000"/>
        </w:rPr>
        <w:t>代表迈瑞医疗</w:t>
      </w:r>
      <w:r w:rsidRPr="00640B46">
        <w:rPr>
          <w:rFonts w:ascii="宋体" w:eastAsia="宋体" w:hAnsi="Times New Roman"/>
          <w:color w:val="000000"/>
        </w:rPr>
        <w:t>(300760. SZ)就其多个收购及交易项目并提供法律建议及交易服务</w:t>
      </w:r>
    </w:p>
    <w:p w14:paraId="71B8B2E0" w14:textId="77777777" w:rsidR="00640B46" w:rsidRDefault="00640B46" w:rsidP="00640B46">
      <w:pPr>
        <w:pStyle w:val="af5"/>
        <w:numPr>
          <w:ilvl w:val="0"/>
          <w:numId w:val="8"/>
        </w:numPr>
        <w:spacing w:before="120"/>
        <w:ind w:left="690" w:hanging="240"/>
        <w:rPr>
          <w:rFonts w:ascii="宋体" w:eastAsia="宋体" w:hAnsi="Times New Roman"/>
          <w:color w:val="000000"/>
        </w:rPr>
      </w:pPr>
      <w:r w:rsidRPr="00640B46">
        <w:rPr>
          <w:rFonts w:ascii="宋体" w:eastAsia="宋体" w:hAnsi="Times New Roman" w:hint="eastAsia"/>
          <w:color w:val="000000"/>
        </w:rPr>
        <w:t>代表奈雪の茶参与太盟投资集团</w:t>
      </w:r>
      <w:r w:rsidRPr="00640B46">
        <w:rPr>
          <w:rFonts w:ascii="宋体" w:eastAsia="宋体" w:hAnsi="Times New Roman"/>
          <w:color w:val="000000"/>
        </w:rPr>
        <w:t>(PAG)对其的C轮融资，并提供法律建议及交易服务</w:t>
      </w:r>
    </w:p>
    <w:p w14:paraId="7952A30D" w14:textId="77777777" w:rsidR="00640B46" w:rsidRDefault="00640B46" w:rsidP="00640B46">
      <w:pPr>
        <w:pStyle w:val="af5"/>
        <w:numPr>
          <w:ilvl w:val="0"/>
          <w:numId w:val="9"/>
        </w:numPr>
        <w:spacing w:before="120"/>
        <w:ind w:left="690" w:hanging="240"/>
        <w:rPr>
          <w:rFonts w:ascii="宋体" w:eastAsia="宋体" w:hAnsi="Times New Roman"/>
          <w:color w:val="000000"/>
        </w:rPr>
      </w:pPr>
      <w:r w:rsidRPr="00640B46">
        <w:rPr>
          <w:rFonts w:ascii="宋体" w:eastAsia="宋体" w:hAnsi="Times New Roman" w:hint="eastAsia"/>
          <w:color w:val="000000"/>
        </w:rPr>
        <w:t>代表高瓴资本（</w:t>
      </w:r>
      <w:r w:rsidRPr="00640B46">
        <w:rPr>
          <w:rFonts w:ascii="宋体" w:eastAsia="宋体" w:hAnsi="Times New Roman"/>
          <w:color w:val="000000"/>
        </w:rPr>
        <w:t>HillHouse）参与芯耀辉科技、键嘉机器人等项目的战略投资并提供法律建议及交易服务</w:t>
      </w:r>
    </w:p>
    <w:p w14:paraId="5858AC85" w14:textId="77777777" w:rsidR="00640B46" w:rsidRDefault="00640B46" w:rsidP="00640B46">
      <w:pPr>
        <w:pStyle w:val="af5"/>
        <w:numPr>
          <w:ilvl w:val="0"/>
          <w:numId w:val="10"/>
        </w:numPr>
        <w:spacing w:before="120"/>
        <w:ind w:left="690" w:hanging="240"/>
        <w:rPr>
          <w:rFonts w:ascii="宋体" w:eastAsia="宋体" w:hAnsi="Times New Roman"/>
          <w:color w:val="000000"/>
        </w:rPr>
      </w:pPr>
      <w:r w:rsidRPr="00640B46">
        <w:rPr>
          <w:rFonts w:ascii="宋体" w:eastAsia="宋体" w:hAnsi="Times New Roman" w:hint="eastAsia"/>
          <w:color w:val="000000"/>
        </w:rPr>
        <w:t>代表</w:t>
      </w:r>
      <w:r w:rsidRPr="00640B46">
        <w:rPr>
          <w:rFonts w:ascii="宋体" w:eastAsia="宋体" w:hAnsi="Times New Roman"/>
          <w:color w:val="000000"/>
        </w:rPr>
        <w:t>CMC资本对山东泰山啤酒有限公司、十月稻田及肆拾玖坊的投资提供法律服务</w:t>
      </w:r>
    </w:p>
    <w:p w14:paraId="0EA422B5" w14:textId="77777777" w:rsidR="00640B46" w:rsidRDefault="00640B46" w:rsidP="00640B46">
      <w:pPr>
        <w:pStyle w:val="af5"/>
        <w:numPr>
          <w:ilvl w:val="0"/>
          <w:numId w:val="11"/>
        </w:numPr>
        <w:spacing w:before="120"/>
        <w:ind w:left="690" w:hanging="240"/>
        <w:rPr>
          <w:rFonts w:ascii="宋体" w:eastAsia="宋体" w:hAnsi="Times New Roman"/>
          <w:color w:val="000000"/>
        </w:rPr>
      </w:pPr>
      <w:r w:rsidRPr="00640B46">
        <w:rPr>
          <w:rFonts w:ascii="宋体" w:eastAsia="宋体" w:hAnsi="Times New Roman" w:hint="eastAsia"/>
          <w:color w:val="000000"/>
        </w:rPr>
        <w:t>代表一家国际知名</w:t>
      </w:r>
      <w:r w:rsidRPr="00640B46">
        <w:rPr>
          <w:rFonts w:ascii="宋体" w:eastAsia="宋体" w:hAnsi="Times New Roman"/>
          <w:color w:val="000000"/>
        </w:rPr>
        <w:t>S基金就其在中国境内的投资设计投资结构并设立投资实体提供法律服务</w:t>
      </w:r>
    </w:p>
    <w:p w14:paraId="66D3A9DB" w14:textId="77777777" w:rsidR="00640B46" w:rsidRDefault="00640B46" w:rsidP="00640B46">
      <w:pPr>
        <w:pStyle w:val="af5"/>
        <w:numPr>
          <w:ilvl w:val="0"/>
          <w:numId w:val="12"/>
        </w:numPr>
        <w:spacing w:before="120"/>
        <w:ind w:left="690" w:hanging="240"/>
        <w:rPr>
          <w:rFonts w:ascii="宋体" w:eastAsia="宋体" w:hAnsi="Times New Roman"/>
          <w:color w:val="000000"/>
        </w:rPr>
      </w:pPr>
      <w:r w:rsidRPr="00640B46">
        <w:rPr>
          <w:rFonts w:ascii="宋体" w:eastAsia="宋体" w:hAnsi="Times New Roman" w:hint="eastAsia"/>
          <w:color w:val="000000"/>
        </w:rPr>
        <w:t>代表中信产业基金，为其在医疗健康、消费品等行业的多个投资项目提供法律服务</w:t>
      </w:r>
    </w:p>
    <w:p w14:paraId="23B6D378" w14:textId="77777777" w:rsidR="00640B46" w:rsidRDefault="00640B46" w:rsidP="00640B46">
      <w:pPr>
        <w:pStyle w:val="af5"/>
        <w:numPr>
          <w:ilvl w:val="0"/>
          <w:numId w:val="13"/>
        </w:numPr>
        <w:spacing w:before="120"/>
        <w:ind w:left="690" w:hanging="240"/>
        <w:rPr>
          <w:rFonts w:ascii="宋体" w:eastAsia="宋体" w:hAnsi="Times New Roman"/>
          <w:color w:val="000000"/>
        </w:rPr>
      </w:pPr>
      <w:r w:rsidRPr="00640B46">
        <w:rPr>
          <w:rFonts w:ascii="宋体" w:eastAsia="宋体" w:hAnsi="Times New Roman" w:hint="eastAsia"/>
          <w:color w:val="000000"/>
        </w:rPr>
        <w:t>代表招银国际参与</w:t>
      </w:r>
      <w:r w:rsidRPr="00640B46">
        <w:rPr>
          <w:rFonts w:ascii="宋体" w:eastAsia="宋体" w:hAnsi="Times New Roman"/>
          <w:color w:val="000000"/>
        </w:rPr>
        <w:t>Dmall Inc. （多点生活）的C轮融资等其他数个境外架构项目的</w:t>
      </w:r>
    </w:p>
    <w:p w14:paraId="6BD9F1A3" w14:textId="77777777" w:rsidR="00640B46" w:rsidRDefault="00640B46" w:rsidP="00640B46">
      <w:pPr>
        <w:pStyle w:val="af5"/>
        <w:numPr>
          <w:ilvl w:val="0"/>
          <w:numId w:val="14"/>
        </w:numPr>
        <w:spacing w:before="120"/>
        <w:ind w:left="690" w:hanging="240"/>
        <w:rPr>
          <w:rFonts w:ascii="宋体" w:eastAsia="宋体" w:hAnsi="Times New Roman"/>
          <w:color w:val="000000"/>
        </w:rPr>
      </w:pPr>
      <w:r w:rsidRPr="00640B46">
        <w:rPr>
          <w:rFonts w:ascii="宋体" w:eastAsia="宋体" w:hAnsi="Times New Roman" w:hint="eastAsia"/>
          <w:color w:val="000000"/>
        </w:rPr>
        <w:t>代表金镒资本参与了多项战略投资并提供法律建议及交易服务</w:t>
      </w:r>
    </w:p>
    <w:p w14:paraId="1A1BF997" w14:textId="77777777" w:rsidR="00640B46" w:rsidRDefault="00640B46" w:rsidP="00640B46">
      <w:pPr>
        <w:pStyle w:val="af5"/>
        <w:numPr>
          <w:ilvl w:val="0"/>
          <w:numId w:val="15"/>
        </w:numPr>
        <w:spacing w:before="120"/>
        <w:ind w:left="690" w:hanging="240"/>
        <w:rPr>
          <w:rFonts w:ascii="宋体" w:eastAsia="宋体" w:hAnsi="Times New Roman"/>
          <w:color w:val="000000"/>
        </w:rPr>
      </w:pPr>
      <w:r w:rsidRPr="00640B46">
        <w:rPr>
          <w:rFonts w:ascii="宋体" w:eastAsia="宋体" w:hAnsi="Times New Roman" w:hint="eastAsia"/>
          <w:color w:val="000000"/>
        </w:rPr>
        <w:t>代表万物梁行收购境内物业管理相关企业项目提供法律服务</w:t>
      </w:r>
    </w:p>
    <w:p w14:paraId="4D5E7350" w14:textId="77777777" w:rsidR="00640B46" w:rsidRDefault="00640B46" w:rsidP="00640B46">
      <w:pPr>
        <w:pStyle w:val="af5"/>
        <w:numPr>
          <w:ilvl w:val="0"/>
          <w:numId w:val="16"/>
        </w:numPr>
        <w:spacing w:before="120"/>
        <w:ind w:left="690" w:hanging="240"/>
        <w:rPr>
          <w:rFonts w:ascii="宋体" w:eastAsia="宋体" w:hAnsi="Times New Roman"/>
          <w:color w:val="000000"/>
        </w:rPr>
      </w:pPr>
      <w:r w:rsidRPr="00640B46">
        <w:rPr>
          <w:rFonts w:ascii="宋体" w:eastAsia="宋体" w:hAnsi="Times New Roman" w:hint="eastAsia"/>
          <w:color w:val="000000"/>
        </w:rPr>
        <w:t>代表华润电力收购风电项目并提供法律建议及交易服务</w:t>
      </w:r>
    </w:p>
    <w:p w14:paraId="02AC3CD2" w14:textId="77777777" w:rsidR="00640B46" w:rsidRDefault="00640B46" w:rsidP="00640B46">
      <w:pPr>
        <w:pStyle w:val="af5"/>
        <w:numPr>
          <w:ilvl w:val="0"/>
          <w:numId w:val="17"/>
        </w:numPr>
        <w:spacing w:before="120"/>
        <w:ind w:left="690" w:hanging="240"/>
        <w:rPr>
          <w:rFonts w:ascii="宋体" w:eastAsia="宋体" w:hAnsi="Times New Roman"/>
          <w:color w:val="000000"/>
        </w:rPr>
      </w:pPr>
      <w:r w:rsidRPr="00640B46">
        <w:rPr>
          <w:rFonts w:ascii="宋体" w:eastAsia="宋体" w:hAnsi="Times New Roman" w:hint="eastAsia"/>
          <w:color w:val="000000"/>
        </w:rPr>
        <w:t>代表上海凯利泰医疗科技股份有限公司参与收购美国手术设备公司</w:t>
      </w:r>
      <w:r w:rsidRPr="00640B46">
        <w:rPr>
          <w:rFonts w:ascii="宋体" w:eastAsia="宋体" w:hAnsi="Times New Roman"/>
          <w:color w:val="000000"/>
        </w:rPr>
        <w:t>Elliquence并提供法律建议及交易服务</w:t>
      </w:r>
    </w:p>
    <w:p w14:paraId="7ABEFC98" w14:textId="77777777" w:rsidR="00640B46" w:rsidRDefault="00640B46" w:rsidP="00640B46">
      <w:pPr>
        <w:pStyle w:val="af5"/>
        <w:numPr>
          <w:ilvl w:val="0"/>
          <w:numId w:val="18"/>
        </w:numPr>
        <w:spacing w:before="120"/>
        <w:ind w:left="690" w:hanging="240"/>
        <w:rPr>
          <w:rFonts w:ascii="宋体" w:eastAsia="宋体" w:hAnsi="Times New Roman"/>
          <w:color w:val="000000"/>
        </w:rPr>
      </w:pPr>
      <w:r w:rsidRPr="00640B46">
        <w:rPr>
          <w:rFonts w:ascii="宋体" w:eastAsia="宋体" w:hAnsi="Times New Roman" w:hint="eastAsia"/>
          <w:color w:val="000000"/>
        </w:rPr>
        <w:t>代表国家电投以超过</w:t>
      </w:r>
      <w:r w:rsidRPr="00640B46">
        <w:rPr>
          <w:rFonts w:ascii="宋体" w:eastAsia="宋体" w:hAnsi="Times New Roman"/>
          <w:color w:val="000000"/>
        </w:rPr>
        <w:t>30亿澳元通过竞标收购IFM持有的澳洲太平洋水电公司，持有澳大利亚、智利、巴西的再生能源资产</w:t>
      </w:r>
    </w:p>
    <w:p w14:paraId="4AD2BDE3" w14:textId="77777777" w:rsidR="00640B46" w:rsidRDefault="00640B46" w:rsidP="00640B46">
      <w:pPr>
        <w:pStyle w:val="af5"/>
        <w:numPr>
          <w:ilvl w:val="0"/>
          <w:numId w:val="19"/>
        </w:numPr>
        <w:spacing w:before="120"/>
        <w:ind w:left="690" w:hanging="240"/>
        <w:rPr>
          <w:rFonts w:ascii="宋体" w:eastAsia="宋体" w:hAnsi="Times New Roman"/>
          <w:color w:val="000000"/>
        </w:rPr>
      </w:pPr>
      <w:r w:rsidRPr="00640B46">
        <w:rPr>
          <w:rFonts w:ascii="宋体" w:eastAsia="宋体" w:hAnsi="Times New Roman" w:hint="eastAsia"/>
          <w:color w:val="000000"/>
        </w:rPr>
        <w:t>代表一家</w:t>
      </w:r>
      <w:r w:rsidRPr="00640B46">
        <w:rPr>
          <w:rFonts w:ascii="宋体" w:eastAsia="宋体" w:hAnsi="Times New Roman"/>
          <w:color w:val="000000"/>
        </w:rPr>
        <w:t>A股上市公司收购英国航空制造相关资产</w:t>
      </w:r>
    </w:p>
    <w:p w14:paraId="4377EB43" w14:textId="77777777" w:rsidR="00640B46" w:rsidRDefault="00640B46" w:rsidP="00640B46">
      <w:pPr>
        <w:pStyle w:val="af5"/>
        <w:numPr>
          <w:ilvl w:val="0"/>
          <w:numId w:val="20"/>
        </w:numPr>
        <w:spacing w:before="120"/>
        <w:ind w:left="690" w:hanging="240"/>
        <w:rPr>
          <w:rFonts w:ascii="宋体" w:eastAsia="宋体" w:hAnsi="Times New Roman"/>
          <w:color w:val="000000"/>
        </w:rPr>
      </w:pPr>
      <w:r w:rsidRPr="00640B46">
        <w:rPr>
          <w:rFonts w:ascii="宋体" w:eastAsia="宋体" w:hAnsi="Times New Roman" w:hint="eastAsia"/>
          <w:color w:val="000000"/>
        </w:rPr>
        <w:t>代表恒信东方文化股份有限公司收购新西兰的媒体企业</w:t>
      </w:r>
      <w:r w:rsidRPr="00640B46">
        <w:rPr>
          <w:rFonts w:ascii="宋体" w:eastAsia="宋体" w:hAnsi="Times New Roman"/>
          <w:color w:val="000000"/>
        </w:rPr>
        <w:t>Pukeko Pictures有限合伙企业的权益及其普通合伙人的股份</w:t>
      </w:r>
    </w:p>
    <w:p w14:paraId="289A73B9" w14:textId="77777777" w:rsidR="00640B46" w:rsidRDefault="00640B46" w:rsidP="00640B46">
      <w:pPr>
        <w:pStyle w:val="af5"/>
        <w:numPr>
          <w:ilvl w:val="0"/>
          <w:numId w:val="21"/>
        </w:numPr>
        <w:spacing w:before="120"/>
        <w:ind w:left="690" w:hanging="240"/>
        <w:rPr>
          <w:rFonts w:ascii="宋体" w:eastAsia="宋体" w:hAnsi="Times New Roman"/>
          <w:color w:val="000000"/>
        </w:rPr>
      </w:pPr>
      <w:r w:rsidRPr="00640B46">
        <w:rPr>
          <w:rFonts w:ascii="宋体" w:eastAsia="宋体" w:hAnsi="Times New Roman" w:hint="eastAsia"/>
          <w:color w:val="000000"/>
        </w:rPr>
        <w:t>代表国企联合体收购澳洲牧场资产</w:t>
      </w:r>
    </w:p>
    <w:p w14:paraId="17615778" w14:textId="77777777" w:rsidR="00640B46" w:rsidRDefault="00640B46" w:rsidP="00640B46">
      <w:pPr>
        <w:pStyle w:val="af5"/>
        <w:numPr>
          <w:ilvl w:val="0"/>
          <w:numId w:val="22"/>
        </w:numPr>
        <w:spacing w:before="120"/>
        <w:ind w:left="690" w:hanging="240"/>
        <w:rPr>
          <w:rFonts w:ascii="宋体" w:eastAsia="宋体" w:hAnsi="Times New Roman"/>
          <w:color w:val="000000"/>
        </w:rPr>
      </w:pPr>
      <w:r w:rsidRPr="00640B46">
        <w:rPr>
          <w:rFonts w:ascii="宋体" w:eastAsia="宋体" w:hAnsi="Times New Roman" w:hint="eastAsia"/>
          <w:color w:val="000000"/>
        </w:rPr>
        <w:t>代表</w:t>
      </w:r>
      <w:r w:rsidRPr="00640B46">
        <w:rPr>
          <w:rFonts w:ascii="宋体" w:eastAsia="宋体" w:hAnsi="Times New Roman"/>
          <w:color w:val="000000"/>
        </w:rPr>
        <w:t>IDS Medical Systems Group Limited为其与We Doctor Holdings Limited（微医控股有限公司）在香港设立合资公司提供了法律服务</w:t>
      </w:r>
    </w:p>
    <w:p w14:paraId="76981C1C" w14:textId="77777777" w:rsidR="00640B46" w:rsidRDefault="00640B46" w:rsidP="00640B46">
      <w:pPr>
        <w:pStyle w:val="af5"/>
        <w:spacing w:after="0" w:line="480" w:lineRule="auto"/>
        <w:rPr>
          <w:rFonts w:ascii="宋体" w:eastAsia="宋体" w:hAnsi="宋体"/>
          <w:b/>
          <w:sz w:val="24"/>
        </w:rPr>
      </w:pPr>
      <w:r w:rsidRPr="00640B46">
        <w:rPr>
          <w:rFonts w:ascii="宋体" w:eastAsia="宋体" w:hAnsi="宋体" w:hint="eastAsia"/>
          <w:b/>
          <w:sz w:val="24"/>
        </w:rPr>
        <w:t>教育背景</w:t>
      </w:r>
    </w:p>
    <w:p w14:paraId="773BC8EB" w14:textId="77777777" w:rsidR="00640B46" w:rsidRDefault="00640B46" w:rsidP="00640B46">
      <w:pPr>
        <w:pStyle w:val="af5"/>
        <w:numPr>
          <w:ilvl w:val="0"/>
          <w:numId w:val="23"/>
        </w:numPr>
        <w:spacing w:before="120"/>
        <w:ind w:left="690" w:hanging="240"/>
        <w:rPr>
          <w:rFonts w:ascii="宋体" w:eastAsia="宋体" w:hAnsi="Times New Roman"/>
          <w:color w:val="000000"/>
        </w:rPr>
      </w:pPr>
      <w:r w:rsidRPr="00640B46">
        <w:rPr>
          <w:rFonts w:ascii="宋体" w:eastAsia="宋体" w:hAnsi="Times New Roman" w:hint="eastAsia"/>
          <w:color w:val="000000"/>
        </w:rPr>
        <w:t>北京大学，法律硕士，</w:t>
      </w:r>
      <w:r w:rsidRPr="00640B46">
        <w:rPr>
          <w:rFonts w:ascii="宋体" w:eastAsia="宋体" w:hAnsi="Times New Roman"/>
          <w:color w:val="000000"/>
        </w:rPr>
        <w:t>2016</w:t>
      </w:r>
    </w:p>
    <w:p w14:paraId="698519C4" w14:textId="77777777" w:rsidR="00640B46" w:rsidRDefault="00640B46" w:rsidP="00640B46">
      <w:pPr>
        <w:pStyle w:val="af5"/>
        <w:numPr>
          <w:ilvl w:val="0"/>
          <w:numId w:val="24"/>
        </w:numPr>
        <w:spacing w:before="120"/>
        <w:ind w:left="690" w:hanging="240"/>
        <w:rPr>
          <w:rFonts w:ascii="宋体" w:eastAsia="宋体" w:hAnsi="Times New Roman"/>
          <w:color w:val="000000"/>
        </w:rPr>
      </w:pPr>
      <w:r w:rsidRPr="00640B46">
        <w:rPr>
          <w:rFonts w:ascii="宋体" w:eastAsia="宋体" w:hAnsi="Times New Roman" w:hint="eastAsia"/>
          <w:color w:val="000000"/>
        </w:rPr>
        <w:t>复旦大学，学士学位，</w:t>
      </w:r>
      <w:r w:rsidRPr="00640B46">
        <w:rPr>
          <w:rFonts w:ascii="宋体" w:eastAsia="宋体" w:hAnsi="Times New Roman"/>
          <w:color w:val="000000"/>
        </w:rPr>
        <w:t>2013</w:t>
      </w:r>
    </w:p>
    <w:p w14:paraId="4BD249B9" w14:textId="77777777" w:rsidR="00640B46" w:rsidRDefault="00640B46" w:rsidP="00640B46">
      <w:pPr>
        <w:pStyle w:val="af5"/>
        <w:spacing w:after="0" w:line="480" w:lineRule="auto"/>
        <w:rPr>
          <w:rFonts w:ascii="宋体" w:eastAsia="宋体" w:hAnsi="宋体"/>
          <w:b/>
          <w:sz w:val="24"/>
        </w:rPr>
      </w:pPr>
      <w:r w:rsidRPr="00640B46">
        <w:rPr>
          <w:rFonts w:ascii="宋体" w:eastAsia="宋体" w:hAnsi="宋体" w:hint="eastAsia"/>
          <w:b/>
          <w:sz w:val="24"/>
        </w:rPr>
        <w:t>执业资格</w:t>
      </w:r>
    </w:p>
    <w:p w14:paraId="7A00A885" w14:textId="77777777" w:rsidR="00640B46" w:rsidRDefault="00640B46" w:rsidP="00640B46">
      <w:pPr>
        <w:pStyle w:val="af5"/>
        <w:numPr>
          <w:ilvl w:val="0"/>
          <w:numId w:val="25"/>
        </w:numPr>
        <w:spacing w:before="120"/>
        <w:ind w:left="690" w:hanging="240"/>
        <w:rPr>
          <w:rFonts w:ascii="宋体" w:eastAsia="宋体" w:hAnsi="Times New Roman"/>
          <w:color w:val="000000"/>
        </w:rPr>
      </w:pPr>
      <w:r w:rsidRPr="00640B46">
        <w:rPr>
          <w:rFonts w:ascii="宋体" w:eastAsia="宋体" w:hAnsi="Times New Roman" w:hint="eastAsia"/>
          <w:color w:val="000000"/>
        </w:rPr>
        <w:t>中华人民共和国执业律师</w:t>
      </w:r>
    </w:p>
    <w:p w14:paraId="3B143A2B" w14:textId="77777777" w:rsidR="00640B46" w:rsidRDefault="00640B46" w:rsidP="00640B46">
      <w:pPr>
        <w:pStyle w:val="af5"/>
        <w:spacing w:after="0" w:line="480" w:lineRule="auto"/>
        <w:rPr>
          <w:rFonts w:ascii="宋体" w:eastAsia="宋体" w:hAnsi="宋体"/>
          <w:b/>
          <w:sz w:val="24"/>
        </w:rPr>
      </w:pPr>
      <w:r w:rsidRPr="00640B46">
        <w:rPr>
          <w:rFonts w:ascii="宋体" w:eastAsia="宋体" w:hAnsi="宋体" w:hint="eastAsia"/>
          <w:b/>
          <w:sz w:val="24"/>
        </w:rPr>
        <w:t>职业背景</w:t>
      </w:r>
    </w:p>
    <w:p w14:paraId="4F0A196B" w14:textId="623074FE" w:rsidR="00A46A04" w:rsidRPr="00640B46" w:rsidRDefault="00640B46" w:rsidP="00640B46">
      <w:pPr>
        <w:pStyle w:val="af5"/>
        <w:numPr>
          <w:ilvl w:val="0"/>
          <w:numId w:val="26"/>
        </w:numPr>
        <w:spacing w:before="120"/>
        <w:ind w:left="690" w:hanging="240"/>
        <w:rPr>
          <w:rFonts w:ascii="宋体" w:eastAsia="宋体" w:hAnsi="Times New Roman"/>
          <w:color w:val="000000"/>
        </w:rPr>
      </w:pPr>
      <w:r w:rsidRPr="00640B46">
        <w:rPr>
          <w:rFonts w:ascii="宋体" w:eastAsia="宋体" w:hAnsi="Times New Roman" w:hint="eastAsia"/>
          <w:color w:val="000000"/>
        </w:rPr>
        <w:t>胡律师于</w:t>
      </w:r>
      <w:r w:rsidRPr="00640B46">
        <w:rPr>
          <w:rFonts w:ascii="宋体" w:eastAsia="宋体" w:hAnsi="Times New Roman"/>
          <w:color w:val="000000"/>
        </w:rPr>
        <w:t>2018年加入方达律师事务所，在此之前，曾在另一家国内知名的律师事务所工作。</w:t>
      </w:r>
    </w:p>
    <w:sectPr w:rsidR="00A46A04" w:rsidRPr="00640B4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25210"/>
    <w:multiLevelType w:val="singleLevel"/>
    <w:tmpl w:val="55B2F31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80154E"/>
    <w:multiLevelType w:val="singleLevel"/>
    <w:tmpl w:val="F008EAE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C964DA4"/>
    <w:multiLevelType w:val="singleLevel"/>
    <w:tmpl w:val="839C5E8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A3B5566"/>
    <w:multiLevelType w:val="singleLevel"/>
    <w:tmpl w:val="1350248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2F1E55E9"/>
    <w:multiLevelType w:val="singleLevel"/>
    <w:tmpl w:val="DB549E4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F9E7597"/>
    <w:multiLevelType w:val="singleLevel"/>
    <w:tmpl w:val="472CE7F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5EF5C1B"/>
    <w:multiLevelType w:val="singleLevel"/>
    <w:tmpl w:val="30B8521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9E54272"/>
    <w:multiLevelType w:val="singleLevel"/>
    <w:tmpl w:val="5D2E48B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D122D85"/>
    <w:multiLevelType w:val="singleLevel"/>
    <w:tmpl w:val="84508FB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3E43709"/>
    <w:multiLevelType w:val="singleLevel"/>
    <w:tmpl w:val="7C449DF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706704A"/>
    <w:multiLevelType w:val="singleLevel"/>
    <w:tmpl w:val="4C34EF1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A2412C3"/>
    <w:multiLevelType w:val="singleLevel"/>
    <w:tmpl w:val="6BCC070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EEA2C33"/>
    <w:multiLevelType w:val="singleLevel"/>
    <w:tmpl w:val="DCBCAC2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3911D30"/>
    <w:multiLevelType w:val="singleLevel"/>
    <w:tmpl w:val="EEC0EED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3B21291"/>
    <w:multiLevelType w:val="singleLevel"/>
    <w:tmpl w:val="A1BE87F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88074D4"/>
    <w:multiLevelType w:val="singleLevel"/>
    <w:tmpl w:val="245C479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CE50CAC"/>
    <w:multiLevelType w:val="singleLevel"/>
    <w:tmpl w:val="4CAAABD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DD91620"/>
    <w:multiLevelType w:val="singleLevel"/>
    <w:tmpl w:val="CB9221C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97C188B"/>
    <w:multiLevelType w:val="singleLevel"/>
    <w:tmpl w:val="721ABE9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CC5110C"/>
    <w:multiLevelType w:val="singleLevel"/>
    <w:tmpl w:val="D40A208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D6729B8"/>
    <w:multiLevelType w:val="singleLevel"/>
    <w:tmpl w:val="F008EAE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E0855B5"/>
    <w:multiLevelType w:val="singleLevel"/>
    <w:tmpl w:val="CC240A1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F6B7589"/>
    <w:multiLevelType w:val="singleLevel"/>
    <w:tmpl w:val="9616494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FFD5FD6"/>
    <w:multiLevelType w:val="singleLevel"/>
    <w:tmpl w:val="17CA1B10"/>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9"/>
  </w:num>
  <w:num w:numId="3">
    <w:abstractNumId w:val="3"/>
  </w:num>
  <w:num w:numId="4">
    <w:abstractNumId w:val="16"/>
  </w:num>
  <w:num w:numId="5">
    <w:abstractNumId w:val="0"/>
  </w:num>
  <w:num w:numId="6">
    <w:abstractNumId w:val="14"/>
  </w:num>
  <w:num w:numId="7">
    <w:abstractNumId w:val="7"/>
  </w:num>
  <w:num w:numId="8">
    <w:abstractNumId w:val="5"/>
  </w:num>
  <w:num w:numId="9">
    <w:abstractNumId w:val="20"/>
  </w:num>
  <w:num w:numId="10">
    <w:abstractNumId w:val="13"/>
  </w:num>
  <w:num w:numId="11">
    <w:abstractNumId w:val="21"/>
  </w:num>
  <w:num w:numId="12">
    <w:abstractNumId w:val="25"/>
  </w:num>
  <w:num w:numId="13">
    <w:abstractNumId w:val="15"/>
  </w:num>
  <w:num w:numId="14">
    <w:abstractNumId w:val="19"/>
  </w:num>
  <w:num w:numId="15">
    <w:abstractNumId w:val="12"/>
  </w:num>
  <w:num w:numId="16">
    <w:abstractNumId w:val="23"/>
  </w:num>
  <w:num w:numId="17">
    <w:abstractNumId w:val="18"/>
  </w:num>
  <w:num w:numId="18">
    <w:abstractNumId w:val="6"/>
  </w:num>
  <w:num w:numId="19">
    <w:abstractNumId w:val="10"/>
  </w:num>
  <w:num w:numId="20">
    <w:abstractNumId w:val="8"/>
  </w:num>
  <w:num w:numId="21">
    <w:abstractNumId w:val="17"/>
  </w:num>
  <w:num w:numId="22">
    <w:abstractNumId w:val="2"/>
  </w:num>
  <w:num w:numId="23">
    <w:abstractNumId w:val="24"/>
  </w:num>
  <w:num w:numId="24">
    <w:abstractNumId w:val="11"/>
  </w:num>
  <w:num w:numId="25">
    <w:abstractNumId w:val="1"/>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40B46"/>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40B46"/>
    <w:pPr>
      <w:spacing w:after="120"/>
    </w:pPr>
  </w:style>
  <w:style w:type="character" w:customStyle="1" w:styleId="af6">
    <w:name w:val="正文文本 字符"/>
    <w:basedOn w:val="a0"/>
    <w:link w:val="af5"/>
    <w:uiPriority w:val="99"/>
    <w:rsid w:val="00640B4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7378B-754E-42F0-A18A-44DF27F21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159</Words>
  <Characters>910</Characters>
  <Application>Microsoft Office Word</Application>
  <DocSecurity>0</DocSecurity>
  <Lines>7</Lines>
  <Paragraphs>2</Paragraphs>
  <ScaleCrop>false</ScaleCrop>
  <Company/>
  <LinksUpToDate>false</LinksUpToDate>
  <CharactersWithSpaces>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2026-09-05T14:37:00Z</dcterms:created>
  <dcterms:modified xsi:type="dcterms:W3CDTF">2026-09-05T14:37:00Z</dcterms:modified>
</cp:coreProperties>
</file>