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C7027D9" w:rsidR="0049405C" w:rsidRPr="00187BAA" w:rsidRDefault="00A9402A" w:rsidP="00A9402A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A9402A">
              <w:rPr>
                <w:rFonts w:ascii="宋体" w:eastAsia="宋体" w:hAnsi="Times New Roman" w:hint="eastAsia"/>
                <w:b/>
                <w:color w:val="000000"/>
                <w:sz w:val="48"/>
              </w:rPr>
              <w:t>刘行健</w:t>
            </w:r>
            <w:bookmarkEnd w:id="0"/>
          </w:p>
          <w:p w14:paraId="706EB16B" w14:textId="05B595AA" w:rsidR="0049405C" w:rsidRPr="00187BAA" w:rsidRDefault="00A9402A" w:rsidP="00A9402A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A9402A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223B4877" w:rsidR="0049405C" w:rsidRPr="00187BAA" w:rsidRDefault="00A9402A" w:rsidP="00A9402A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A9402A">
              <w:rPr>
                <w:rFonts w:ascii="宋体" w:eastAsia="宋体" w:hAnsi="Times New Roman"/>
                <w:color w:val="000000"/>
              </w:rPr>
              <w:t xml:space="preserve">+86 10 5769 4218 </w:t>
            </w:r>
            <w:bookmarkEnd w:id="3"/>
          </w:p>
          <w:p w14:paraId="4F910ACA" w14:textId="5757CF6D" w:rsidR="0049405C" w:rsidRPr="00187BAA" w:rsidRDefault="00A9402A" w:rsidP="00A9402A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A9402A">
              <w:rPr>
                <w:rFonts w:ascii="宋体" w:eastAsia="宋体" w:hAnsi="Times New Roman"/>
                <w:color w:val="000000"/>
              </w:rPr>
              <w:t>Stephen.Liu@fangdalaw.com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6588A44" w:rsidR="0049405C" w:rsidRPr="00187BAA" w:rsidRDefault="00A9402A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DBD52C2" wp14:editId="4B71638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EBD6C67" w:rsidR="009465FB" w:rsidRPr="00187BAA" w:rsidRDefault="00A9402A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A9402A">
              <w:rPr>
                <w:rFonts w:ascii="宋体" w:eastAsia="宋体" w:hAnsi="Times New Roman" w:hint="eastAsia"/>
                <w:color w:val="000000"/>
                <w:szCs w:val="21"/>
              </w:rPr>
              <w:t>刘行健律师的主要执业领域为兼并与收购、私募股权融资、境外投资、外商直接投资和一般公司事务。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50D89A9" w14:textId="77777777" w:rsidR="00A9402A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698BD41" w14:textId="77777777" w:rsidR="00A9402A" w:rsidRDefault="00A9402A" w:rsidP="00A9402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9402A">
        <w:rPr>
          <w:rFonts w:ascii="宋体" w:eastAsia="宋体" w:hAnsi="宋体" w:hint="eastAsia"/>
          <w:b/>
          <w:sz w:val="24"/>
        </w:rPr>
        <w:t>近期代理的主要案件</w:t>
      </w:r>
    </w:p>
    <w:p w14:paraId="3DAEC3EE" w14:textId="77777777" w:rsidR="00A9402A" w:rsidRDefault="00A9402A" w:rsidP="00A9402A">
      <w:pPr>
        <w:pStyle w:val="af5"/>
        <w:spacing w:before="12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并购</w:t>
      </w:r>
      <w:r w:rsidRPr="00A9402A">
        <w:rPr>
          <w:rFonts w:ascii="宋体" w:eastAsia="宋体" w:hAnsi="Times New Roman"/>
          <w:color w:val="000000"/>
        </w:rPr>
        <w:t>/外商直接投资</w:t>
      </w:r>
    </w:p>
    <w:p w14:paraId="4A5969D6" w14:textId="77777777" w:rsidR="00A9402A" w:rsidRDefault="00A9402A" w:rsidP="00A9402A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代表世纪互联收购时速云；</w:t>
      </w:r>
    </w:p>
    <w:p w14:paraId="27D3D684" w14:textId="77777777" w:rsidR="00A9402A" w:rsidRDefault="00A9402A" w:rsidP="00A9402A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代表投资人拟向雀巢收购银鹭食品；</w:t>
      </w:r>
    </w:p>
    <w:p w14:paraId="1237BA5E" w14:textId="77777777" w:rsidR="00A9402A" w:rsidRDefault="00A9402A" w:rsidP="00A9402A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代表百丽国际收购</w:t>
      </w:r>
      <w:r w:rsidRPr="00A9402A">
        <w:rPr>
          <w:rFonts w:ascii="宋体" w:eastAsia="宋体" w:hAnsi="Times New Roman"/>
          <w:color w:val="000000"/>
        </w:rPr>
        <w:t>73小时高跟鞋;</w:t>
      </w:r>
    </w:p>
    <w:p w14:paraId="6DEF461C" w14:textId="77777777" w:rsidR="00A9402A" w:rsidRDefault="00A9402A" w:rsidP="00A9402A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代表华平投资收购乐友婴孕童</w:t>
      </w:r>
      <w:r w:rsidRPr="00A9402A">
        <w:rPr>
          <w:rFonts w:ascii="宋体" w:eastAsia="宋体" w:hAnsi="Times New Roman"/>
          <w:color w:val="000000"/>
        </w:rPr>
        <w:t>;</w:t>
      </w:r>
    </w:p>
    <w:p w14:paraId="701BE081" w14:textId="77777777" w:rsidR="00A9402A" w:rsidRDefault="00A9402A" w:rsidP="00A9402A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代表精友世纪处理其与律商联讯合资公司的权益出售</w:t>
      </w:r>
      <w:r w:rsidRPr="00A9402A">
        <w:rPr>
          <w:rFonts w:ascii="宋体" w:eastAsia="宋体" w:hAnsi="Times New Roman"/>
          <w:color w:val="000000"/>
        </w:rPr>
        <w:t>;</w:t>
      </w:r>
    </w:p>
    <w:p w14:paraId="7C093205" w14:textId="77777777" w:rsidR="00A9402A" w:rsidRDefault="00A9402A" w:rsidP="00A9402A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代表高瓴资本收购辉瑞在一家中美合资制药企业中的股权；</w:t>
      </w:r>
    </w:p>
    <w:p w14:paraId="260B2605" w14:textId="77777777" w:rsidR="00A9402A" w:rsidRDefault="00A9402A" w:rsidP="00A9402A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代表高瓴资本拟收购一家专注于抗肿瘤药物研发生产的制药企业；</w:t>
      </w:r>
    </w:p>
    <w:p w14:paraId="135F953A" w14:textId="77777777" w:rsidR="00A9402A" w:rsidRDefault="00A9402A" w:rsidP="00A9402A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代表一家中国制药企业参与其与辉瑞的技术许可交易；</w:t>
      </w:r>
    </w:p>
    <w:p w14:paraId="6D19DD92" w14:textId="77777777" w:rsidR="00A9402A" w:rsidRDefault="00A9402A" w:rsidP="00A9402A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代表投资人参与饿了吗收购百度外卖</w:t>
      </w:r>
      <w:r w:rsidRPr="00A9402A">
        <w:rPr>
          <w:rFonts w:ascii="宋体" w:eastAsia="宋体" w:hAnsi="Times New Roman"/>
          <w:color w:val="000000"/>
        </w:rPr>
        <w:t>;</w:t>
      </w:r>
    </w:p>
    <w:p w14:paraId="25EA6B8F" w14:textId="77777777" w:rsidR="00A9402A" w:rsidRDefault="00A9402A" w:rsidP="00A9402A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代表投资人参与货车帮和运满满的合并</w:t>
      </w:r>
      <w:r w:rsidRPr="00A9402A">
        <w:rPr>
          <w:rFonts w:ascii="宋体" w:eastAsia="宋体" w:hAnsi="Times New Roman"/>
          <w:color w:val="000000"/>
        </w:rPr>
        <w:t>;</w:t>
      </w:r>
    </w:p>
    <w:p w14:paraId="1612A542" w14:textId="77777777" w:rsidR="00A9402A" w:rsidRDefault="00A9402A" w:rsidP="00A9402A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代表一中国财团拟收购澳大利亚医疗集团</w:t>
      </w:r>
      <w:r w:rsidRPr="00A9402A">
        <w:rPr>
          <w:rFonts w:ascii="宋体" w:eastAsia="宋体" w:hAnsi="Times New Roman"/>
          <w:color w:val="000000"/>
        </w:rPr>
        <w:t>Icon。</w:t>
      </w:r>
    </w:p>
    <w:p w14:paraId="10263A5C" w14:textId="77777777" w:rsidR="00A9402A" w:rsidRDefault="00A9402A" w:rsidP="00A9402A">
      <w:pPr>
        <w:pStyle w:val="af5"/>
        <w:spacing w:before="12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私募股权及创业投资</w:t>
      </w:r>
    </w:p>
    <w:p w14:paraId="5D850303" w14:textId="77777777" w:rsidR="00A9402A" w:rsidRDefault="00A9402A" w:rsidP="00A9402A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代表中信产业基金对康圣环球进行股权投资；</w:t>
      </w:r>
    </w:p>
    <w:p w14:paraId="10C45702" w14:textId="77777777" w:rsidR="00A9402A" w:rsidRDefault="00A9402A" w:rsidP="00A9402A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代表中信产业基金对极智嘉进行股权投资；</w:t>
      </w:r>
    </w:p>
    <w:p w14:paraId="312575E3" w14:textId="77777777" w:rsidR="00A9402A" w:rsidRDefault="00A9402A" w:rsidP="00A9402A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代表中信产业基金对滴滴货运进行股权投资；</w:t>
      </w:r>
    </w:p>
    <w:p w14:paraId="2FD7E2E9" w14:textId="77777777" w:rsidR="00A9402A" w:rsidRDefault="00A9402A" w:rsidP="00A9402A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代表骏麒资本参与其对艾兰得的股权投资；</w:t>
      </w:r>
    </w:p>
    <w:p w14:paraId="292B6A43" w14:textId="77777777" w:rsidR="00A9402A" w:rsidRDefault="00A9402A" w:rsidP="00A9402A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</w:t>
      </w:r>
      <w:r w:rsidRPr="00A9402A">
        <w:rPr>
          <w:rFonts w:ascii="宋体" w:eastAsia="宋体" w:hAnsi="Times New Roman"/>
          <w:color w:val="000000"/>
        </w:rPr>
        <w:t>L Catterton Asia投资于Nebula Brands；</w:t>
      </w:r>
    </w:p>
    <w:p w14:paraId="2CBFB93E" w14:textId="77777777" w:rsidR="00A9402A" w:rsidRDefault="00A9402A" w:rsidP="00A9402A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</w:t>
      </w:r>
      <w:r w:rsidRPr="00A9402A">
        <w:rPr>
          <w:rFonts w:ascii="宋体" w:eastAsia="宋体" w:hAnsi="Times New Roman"/>
          <w:color w:val="000000"/>
        </w:rPr>
        <w:t>L Catterton Asia就Secoo Holding Limited向其发行的本金金额为175,000,000美元并于2021年到期的可转换债券进行重组和再融资;</w:t>
      </w:r>
    </w:p>
    <w:p w14:paraId="4D829CC4" w14:textId="77777777" w:rsidR="00A9402A" w:rsidRDefault="00A9402A" w:rsidP="00A9402A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代表鼎晖投资对德美医疗进行股权投资；</w:t>
      </w:r>
    </w:p>
    <w:p w14:paraId="3560AE8E" w14:textId="77777777" w:rsidR="00A9402A" w:rsidRDefault="00A9402A" w:rsidP="00A9402A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代表鼎晖投资对斯丹赛进行股权投资；</w:t>
      </w:r>
    </w:p>
    <w:p w14:paraId="573A900A" w14:textId="77777777" w:rsidR="00A9402A" w:rsidRDefault="00A9402A" w:rsidP="00A9402A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代表鼎晖投资对</w:t>
      </w:r>
      <w:r w:rsidRPr="00A9402A">
        <w:rPr>
          <w:rFonts w:ascii="宋体" w:eastAsia="宋体" w:hAnsi="Times New Roman"/>
          <w:color w:val="000000"/>
        </w:rPr>
        <w:t xml:space="preserve"> Rootpath进行股权投资；</w:t>
      </w:r>
    </w:p>
    <w:p w14:paraId="27DD639C" w14:textId="77777777" w:rsidR="00A9402A" w:rsidRDefault="00A9402A" w:rsidP="00A9402A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代表鼎晖投资对微步在线进行股权投资；</w:t>
      </w:r>
    </w:p>
    <w:p w14:paraId="68496267" w14:textId="77777777" w:rsidR="00A9402A" w:rsidRDefault="00A9402A" w:rsidP="00A9402A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代表橙心优选进行从滴滴分拆的交易以及其</w:t>
      </w:r>
      <w:r w:rsidRPr="00A9402A">
        <w:rPr>
          <w:rFonts w:ascii="宋体" w:eastAsia="宋体" w:hAnsi="Times New Roman"/>
          <w:color w:val="000000"/>
        </w:rPr>
        <w:t>A轮融资，融资总额约为42.1亿美元；</w:t>
      </w:r>
    </w:p>
    <w:p w14:paraId="0085E2F6" w14:textId="77777777" w:rsidR="00A9402A" w:rsidRDefault="00A9402A" w:rsidP="00A9402A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代表高瓴资本投资于名创优品并参与其红筹重组；</w:t>
      </w:r>
    </w:p>
    <w:p w14:paraId="3C63F001" w14:textId="77777777" w:rsidR="00A9402A" w:rsidRDefault="00A9402A" w:rsidP="00A9402A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代表红杉资本对叮咚买菜进行股权投资；</w:t>
      </w:r>
    </w:p>
    <w:p w14:paraId="30F8A562" w14:textId="77777777" w:rsidR="00A9402A" w:rsidRDefault="00A9402A" w:rsidP="00A9402A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代表红杉资本对禾多科技进行股权投资；</w:t>
      </w:r>
    </w:p>
    <w:p w14:paraId="5A5E4D97" w14:textId="77777777" w:rsidR="00A9402A" w:rsidRDefault="00A9402A" w:rsidP="00A9402A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代表红杉资本对蜀海供应链进行股权投资；</w:t>
      </w:r>
    </w:p>
    <w:p w14:paraId="553B0784" w14:textId="77777777" w:rsidR="00A9402A" w:rsidRDefault="00A9402A" w:rsidP="00A9402A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代表高榕资本对朴朴超市进行股权投资；</w:t>
      </w:r>
    </w:p>
    <w:p w14:paraId="0C8DB42A" w14:textId="77777777" w:rsidR="00A9402A" w:rsidRDefault="00A9402A" w:rsidP="00A9402A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代表高榕资本对拼多多进行股权投资；</w:t>
      </w:r>
    </w:p>
    <w:p w14:paraId="15BAF199" w14:textId="77777777" w:rsidR="00A9402A" w:rsidRDefault="00A9402A" w:rsidP="00A9402A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代表中电中金对</w:t>
      </w:r>
      <w:r w:rsidRPr="00A9402A">
        <w:rPr>
          <w:rFonts w:ascii="宋体" w:eastAsia="宋体" w:hAnsi="Times New Roman"/>
          <w:color w:val="000000"/>
        </w:rPr>
        <w:t>Nreal进行股权投资；</w:t>
      </w:r>
    </w:p>
    <w:p w14:paraId="0A80E656" w14:textId="77777777" w:rsidR="00A9402A" w:rsidRDefault="00A9402A" w:rsidP="00A9402A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代表中投中财对微医进行股权投资；</w:t>
      </w:r>
    </w:p>
    <w:p w14:paraId="141DD708" w14:textId="77777777" w:rsidR="00A9402A" w:rsidRDefault="00A9402A" w:rsidP="00A9402A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代表中关村并购母基金投资于团车网；</w:t>
      </w:r>
    </w:p>
    <w:p w14:paraId="329C3B79" w14:textId="77777777" w:rsidR="00A9402A" w:rsidRDefault="00A9402A" w:rsidP="00A9402A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代表投资人拟投资于字节跳动；</w:t>
      </w:r>
    </w:p>
    <w:p w14:paraId="505A8948" w14:textId="77777777" w:rsidR="00A9402A" w:rsidRDefault="00A9402A" w:rsidP="00A9402A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代表投资人拟投资于蔚来汽车；</w:t>
      </w:r>
    </w:p>
    <w:p w14:paraId="4E6D826A" w14:textId="77777777" w:rsidR="00A9402A" w:rsidRDefault="00A9402A" w:rsidP="00A9402A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代表投资人投资于百融云创；</w:t>
      </w:r>
    </w:p>
    <w:p w14:paraId="2A944E05" w14:textId="77777777" w:rsidR="00A9402A" w:rsidRDefault="00A9402A" w:rsidP="00A9402A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代表小马智行进行其超过</w:t>
      </w:r>
      <w:r w:rsidRPr="00A9402A">
        <w:rPr>
          <w:rFonts w:ascii="宋体" w:eastAsia="宋体" w:hAnsi="Times New Roman"/>
          <w:color w:val="000000"/>
        </w:rPr>
        <w:t>4亿美元的C轮融资，以及与丰田进行合作；</w:t>
      </w:r>
    </w:p>
    <w:p w14:paraId="60D331D3" w14:textId="77777777" w:rsidR="00A9402A" w:rsidRDefault="00A9402A" w:rsidP="00A9402A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代表国投创新投资于天津康希诺；</w:t>
      </w:r>
    </w:p>
    <w:p w14:paraId="0A90C1ED" w14:textId="77777777" w:rsidR="00A9402A" w:rsidRDefault="00A9402A" w:rsidP="00A9402A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代表阿里巴巴投资于一家电影电视制作公司；</w:t>
      </w:r>
    </w:p>
    <w:p w14:paraId="53600424" w14:textId="77777777" w:rsidR="00A9402A" w:rsidRDefault="00A9402A" w:rsidP="00A9402A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代表华平、</w:t>
      </w:r>
      <w:r w:rsidRPr="00A9402A">
        <w:rPr>
          <w:rFonts w:ascii="宋体" w:eastAsia="宋体" w:hAnsi="Times New Roman"/>
          <w:color w:val="000000"/>
        </w:rPr>
        <w:t>TPG、IDG、真格基金、绿动资本、联想创投、国寿大健康、中金资本等风险投资机构和私募基金进行私募股权投资；</w:t>
      </w:r>
    </w:p>
    <w:p w14:paraId="201BDBFC" w14:textId="77777777" w:rsidR="00A9402A" w:rsidRDefault="00A9402A" w:rsidP="00A9402A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代表嘉会医疗网络、开云汽车、肯耐珂萨、妙盈科技、</w:t>
      </w:r>
      <w:r w:rsidRPr="00A9402A">
        <w:rPr>
          <w:rFonts w:ascii="宋体" w:eastAsia="宋体" w:hAnsi="Times New Roman"/>
          <w:color w:val="000000"/>
        </w:rPr>
        <w:t>Matrix Finance等企业进行股权融资。</w:t>
      </w:r>
    </w:p>
    <w:p w14:paraId="5188B8FD" w14:textId="77777777" w:rsidR="00A9402A" w:rsidRDefault="00A9402A" w:rsidP="00A9402A">
      <w:pPr>
        <w:pStyle w:val="af5"/>
        <w:spacing w:before="12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一般公司业务</w:t>
      </w:r>
    </w:p>
    <w:p w14:paraId="2C463078" w14:textId="77777777" w:rsidR="00A9402A" w:rsidRDefault="00A9402A" w:rsidP="00A9402A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为骏麒资本（</w:t>
      </w:r>
      <w:r w:rsidRPr="00A9402A">
        <w:rPr>
          <w:rFonts w:ascii="宋体" w:eastAsia="宋体" w:hAnsi="Times New Roman"/>
          <w:color w:val="000000"/>
        </w:rPr>
        <w:t>Affinity Equity Partners）、开云汽车、小马智行、妙盈科技、Matrix Finance、一下科技、网联清算、雷蛇新加坡等客户提供常年法律服务或一般公司法律咨询服务。</w:t>
      </w:r>
    </w:p>
    <w:p w14:paraId="306DF557" w14:textId="77777777" w:rsidR="00A9402A" w:rsidRDefault="00A9402A" w:rsidP="00A9402A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为开云汽车、神州租车、智联招聘、</w:t>
      </w:r>
      <w:r w:rsidRPr="00A9402A">
        <w:rPr>
          <w:rFonts w:ascii="宋体" w:eastAsia="宋体" w:hAnsi="Times New Roman"/>
          <w:color w:val="000000"/>
        </w:rPr>
        <w:t>Vibe Inc、德瑞骅教育、某澳门基金设计股权激励方案。</w:t>
      </w:r>
    </w:p>
    <w:p w14:paraId="6345BBFF" w14:textId="77777777" w:rsidR="00A9402A" w:rsidRDefault="00A9402A" w:rsidP="00A9402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9402A">
        <w:rPr>
          <w:rFonts w:ascii="宋体" w:eastAsia="宋体" w:hAnsi="宋体" w:hint="eastAsia"/>
          <w:b/>
          <w:sz w:val="24"/>
        </w:rPr>
        <w:t>教育背景</w:t>
      </w:r>
    </w:p>
    <w:p w14:paraId="796809A6" w14:textId="77777777" w:rsidR="00A9402A" w:rsidRDefault="00A9402A" w:rsidP="00A9402A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加州大学伯克利分校，法学硕士</w:t>
      </w:r>
    </w:p>
    <w:p w14:paraId="0F06FDAF" w14:textId="77777777" w:rsidR="00A9402A" w:rsidRDefault="00A9402A" w:rsidP="00A9402A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西南政法大学，法学学士</w:t>
      </w:r>
    </w:p>
    <w:p w14:paraId="5FC9EBA3" w14:textId="77777777" w:rsidR="00A9402A" w:rsidRDefault="00A9402A" w:rsidP="00A9402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9402A">
        <w:rPr>
          <w:rFonts w:ascii="宋体" w:eastAsia="宋体" w:hAnsi="宋体" w:hint="eastAsia"/>
          <w:b/>
          <w:sz w:val="24"/>
        </w:rPr>
        <w:t>执业资格</w:t>
      </w:r>
    </w:p>
    <w:p w14:paraId="685E1A02" w14:textId="77777777" w:rsidR="00A9402A" w:rsidRDefault="00A9402A" w:rsidP="00A9402A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中华人民共和国法律职业资格证书</w:t>
      </w:r>
    </w:p>
    <w:p w14:paraId="07375812" w14:textId="77777777" w:rsidR="00A9402A" w:rsidRDefault="00A9402A" w:rsidP="00A9402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9402A">
        <w:rPr>
          <w:rFonts w:ascii="宋体" w:eastAsia="宋体" w:hAnsi="宋体" w:hint="eastAsia"/>
          <w:b/>
          <w:sz w:val="24"/>
        </w:rPr>
        <w:t>工作语言</w:t>
      </w:r>
    </w:p>
    <w:p w14:paraId="766CAC1F" w14:textId="77777777" w:rsidR="00A9402A" w:rsidRDefault="00A9402A" w:rsidP="00A9402A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中文（母语）</w:t>
      </w:r>
    </w:p>
    <w:p w14:paraId="716DAECF" w14:textId="77777777" w:rsidR="00A9402A" w:rsidRDefault="00A9402A" w:rsidP="00A9402A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英文（流利）</w:t>
      </w:r>
    </w:p>
    <w:p w14:paraId="2F0F8464" w14:textId="77777777" w:rsidR="00A9402A" w:rsidRDefault="00A9402A" w:rsidP="00A9402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9402A">
        <w:rPr>
          <w:rFonts w:ascii="宋体" w:eastAsia="宋体" w:hAnsi="宋体" w:hint="eastAsia"/>
          <w:b/>
          <w:sz w:val="24"/>
        </w:rPr>
        <w:t>职业背景</w:t>
      </w:r>
    </w:p>
    <w:p w14:paraId="4F0A196B" w14:textId="0156BFFB" w:rsidR="00A46A04" w:rsidRPr="00A9402A" w:rsidRDefault="00A9402A" w:rsidP="00A9402A">
      <w:pPr>
        <w:pStyle w:val="af5"/>
        <w:numPr>
          <w:ilvl w:val="0"/>
          <w:numId w:val="5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402A">
        <w:rPr>
          <w:rFonts w:ascii="宋体" w:eastAsia="宋体" w:hAnsi="Times New Roman" w:hint="eastAsia"/>
          <w:color w:val="000000"/>
        </w:rPr>
        <w:t>在加入方达律师事务所之前，刘行健律师曾工作于另一家领先的中国律师事务所。</w:t>
      </w:r>
    </w:p>
    <w:sectPr w:rsidR="00A46A04" w:rsidRPr="00A9402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55BCF"/>
    <w:multiLevelType w:val="singleLevel"/>
    <w:tmpl w:val="142AE6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B50500"/>
    <w:multiLevelType w:val="singleLevel"/>
    <w:tmpl w:val="2116D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CF67F2"/>
    <w:multiLevelType w:val="singleLevel"/>
    <w:tmpl w:val="FDCAD4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E5083B"/>
    <w:multiLevelType w:val="singleLevel"/>
    <w:tmpl w:val="715444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B702B1"/>
    <w:multiLevelType w:val="singleLevel"/>
    <w:tmpl w:val="F01C1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F94F0B"/>
    <w:multiLevelType w:val="singleLevel"/>
    <w:tmpl w:val="478A02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0E71FE"/>
    <w:multiLevelType w:val="singleLevel"/>
    <w:tmpl w:val="A9ACDF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BC43EB"/>
    <w:multiLevelType w:val="singleLevel"/>
    <w:tmpl w:val="CE74CA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F6B7AEB"/>
    <w:multiLevelType w:val="singleLevel"/>
    <w:tmpl w:val="7EC488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09536BF"/>
    <w:multiLevelType w:val="singleLevel"/>
    <w:tmpl w:val="70C6E7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1347759"/>
    <w:multiLevelType w:val="singleLevel"/>
    <w:tmpl w:val="816C88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13E093B"/>
    <w:multiLevelType w:val="singleLevel"/>
    <w:tmpl w:val="025E4E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4645AE8"/>
    <w:multiLevelType w:val="singleLevel"/>
    <w:tmpl w:val="550889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65B18C8"/>
    <w:multiLevelType w:val="singleLevel"/>
    <w:tmpl w:val="472E1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67937CC"/>
    <w:multiLevelType w:val="singleLevel"/>
    <w:tmpl w:val="EA1A95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06F54C1"/>
    <w:multiLevelType w:val="singleLevel"/>
    <w:tmpl w:val="9384AA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19313CF"/>
    <w:multiLevelType w:val="singleLevel"/>
    <w:tmpl w:val="3FF4EA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42C3AB6"/>
    <w:multiLevelType w:val="singleLevel"/>
    <w:tmpl w:val="84E81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8D90A7B"/>
    <w:multiLevelType w:val="singleLevel"/>
    <w:tmpl w:val="13F2AA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96D5D34"/>
    <w:multiLevelType w:val="singleLevel"/>
    <w:tmpl w:val="2A8C96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FE02BAE"/>
    <w:multiLevelType w:val="singleLevel"/>
    <w:tmpl w:val="D2CA1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6125BC3"/>
    <w:multiLevelType w:val="singleLevel"/>
    <w:tmpl w:val="44AAAD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6F577A4"/>
    <w:multiLevelType w:val="singleLevel"/>
    <w:tmpl w:val="84648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6FC6E42"/>
    <w:multiLevelType w:val="singleLevel"/>
    <w:tmpl w:val="95C8A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79031E9"/>
    <w:multiLevelType w:val="singleLevel"/>
    <w:tmpl w:val="C92E8B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9C56181"/>
    <w:multiLevelType w:val="singleLevel"/>
    <w:tmpl w:val="3B6E4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9D77D90"/>
    <w:multiLevelType w:val="singleLevel"/>
    <w:tmpl w:val="7DFA7C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AFF64DA"/>
    <w:multiLevelType w:val="singleLevel"/>
    <w:tmpl w:val="CB18F7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B4F66C0"/>
    <w:multiLevelType w:val="singleLevel"/>
    <w:tmpl w:val="8C46F4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F0B207C"/>
    <w:multiLevelType w:val="singleLevel"/>
    <w:tmpl w:val="F91097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F692865"/>
    <w:multiLevelType w:val="singleLevel"/>
    <w:tmpl w:val="23A853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1A72E6A"/>
    <w:multiLevelType w:val="singleLevel"/>
    <w:tmpl w:val="2CBCA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6332A18"/>
    <w:multiLevelType w:val="singleLevel"/>
    <w:tmpl w:val="309C58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6C21AF6"/>
    <w:multiLevelType w:val="singleLevel"/>
    <w:tmpl w:val="26DC34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7AA636D"/>
    <w:multiLevelType w:val="singleLevel"/>
    <w:tmpl w:val="F01C1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1DA351B"/>
    <w:multiLevelType w:val="singleLevel"/>
    <w:tmpl w:val="D1DC62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28606C9"/>
    <w:multiLevelType w:val="singleLevel"/>
    <w:tmpl w:val="6E8098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50E147B"/>
    <w:multiLevelType w:val="singleLevel"/>
    <w:tmpl w:val="B96AA8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92D3B2B"/>
    <w:multiLevelType w:val="singleLevel"/>
    <w:tmpl w:val="8E6C6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A7E1EE4"/>
    <w:multiLevelType w:val="singleLevel"/>
    <w:tmpl w:val="DB8C3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DDA0ED7"/>
    <w:multiLevelType w:val="singleLevel"/>
    <w:tmpl w:val="6CB855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06D5AE1"/>
    <w:multiLevelType w:val="singleLevel"/>
    <w:tmpl w:val="D71861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2CA7780"/>
    <w:multiLevelType w:val="singleLevel"/>
    <w:tmpl w:val="4E1C06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6B83105"/>
    <w:multiLevelType w:val="singleLevel"/>
    <w:tmpl w:val="AC0CD6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8D72B98"/>
    <w:multiLevelType w:val="singleLevel"/>
    <w:tmpl w:val="EA4CF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B38642F"/>
    <w:multiLevelType w:val="singleLevel"/>
    <w:tmpl w:val="35C4EC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E7A68CB"/>
    <w:multiLevelType w:val="singleLevel"/>
    <w:tmpl w:val="D65048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FCF0C2D"/>
    <w:multiLevelType w:val="singleLevel"/>
    <w:tmpl w:val="0C768A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21"/>
  </w:num>
  <w:num w:numId="3">
    <w:abstractNumId w:val="11"/>
  </w:num>
  <w:num w:numId="4">
    <w:abstractNumId w:val="39"/>
  </w:num>
  <w:num w:numId="5">
    <w:abstractNumId w:val="19"/>
  </w:num>
  <w:num w:numId="6">
    <w:abstractNumId w:val="13"/>
  </w:num>
  <w:num w:numId="7">
    <w:abstractNumId w:val="16"/>
  </w:num>
  <w:num w:numId="8">
    <w:abstractNumId w:val="31"/>
  </w:num>
  <w:num w:numId="9">
    <w:abstractNumId w:val="46"/>
  </w:num>
  <w:num w:numId="10">
    <w:abstractNumId w:val="29"/>
  </w:num>
  <w:num w:numId="11">
    <w:abstractNumId w:val="44"/>
  </w:num>
  <w:num w:numId="12">
    <w:abstractNumId w:val="40"/>
  </w:num>
  <w:num w:numId="13">
    <w:abstractNumId w:val="2"/>
  </w:num>
  <w:num w:numId="14">
    <w:abstractNumId w:val="32"/>
  </w:num>
  <w:num w:numId="15">
    <w:abstractNumId w:val="30"/>
  </w:num>
  <w:num w:numId="16">
    <w:abstractNumId w:val="26"/>
  </w:num>
  <w:num w:numId="17">
    <w:abstractNumId w:val="14"/>
  </w:num>
  <w:num w:numId="18">
    <w:abstractNumId w:val="33"/>
  </w:num>
  <w:num w:numId="19">
    <w:abstractNumId w:val="25"/>
  </w:num>
  <w:num w:numId="20">
    <w:abstractNumId w:val="43"/>
  </w:num>
  <w:num w:numId="21">
    <w:abstractNumId w:val="48"/>
  </w:num>
  <w:num w:numId="22">
    <w:abstractNumId w:val="38"/>
  </w:num>
  <w:num w:numId="23">
    <w:abstractNumId w:val="3"/>
  </w:num>
  <w:num w:numId="24">
    <w:abstractNumId w:val="42"/>
  </w:num>
  <w:num w:numId="25">
    <w:abstractNumId w:val="6"/>
  </w:num>
  <w:num w:numId="26">
    <w:abstractNumId w:val="9"/>
  </w:num>
  <w:num w:numId="27">
    <w:abstractNumId w:val="27"/>
  </w:num>
  <w:num w:numId="28">
    <w:abstractNumId w:val="12"/>
  </w:num>
  <w:num w:numId="29">
    <w:abstractNumId w:val="10"/>
  </w:num>
  <w:num w:numId="30">
    <w:abstractNumId w:val="0"/>
  </w:num>
  <w:num w:numId="31">
    <w:abstractNumId w:val="8"/>
  </w:num>
  <w:num w:numId="32">
    <w:abstractNumId w:val="23"/>
  </w:num>
  <w:num w:numId="33">
    <w:abstractNumId w:val="24"/>
  </w:num>
  <w:num w:numId="34">
    <w:abstractNumId w:val="28"/>
  </w:num>
  <w:num w:numId="35">
    <w:abstractNumId w:val="5"/>
  </w:num>
  <w:num w:numId="36">
    <w:abstractNumId w:val="47"/>
  </w:num>
  <w:num w:numId="37">
    <w:abstractNumId w:val="37"/>
  </w:num>
  <w:num w:numId="38">
    <w:abstractNumId w:val="1"/>
  </w:num>
  <w:num w:numId="39">
    <w:abstractNumId w:val="20"/>
  </w:num>
  <w:num w:numId="40">
    <w:abstractNumId w:val="35"/>
  </w:num>
  <w:num w:numId="41">
    <w:abstractNumId w:val="18"/>
  </w:num>
  <w:num w:numId="42">
    <w:abstractNumId w:val="7"/>
  </w:num>
  <w:num w:numId="43">
    <w:abstractNumId w:val="45"/>
  </w:num>
  <w:num w:numId="44">
    <w:abstractNumId w:val="49"/>
  </w:num>
  <w:num w:numId="45">
    <w:abstractNumId w:val="41"/>
  </w:num>
  <w:num w:numId="46">
    <w:abstractNumId w:val="17"/>
  </w:num>
  <w:num w:numId="47">
    <w:abstractNumId w:val="22"/>
  </w:num>
  <w:num w:numId="48">
    <w:abstractNumId w:val="34"/>
  </w:num>
  <w:num w:numId="49">
    <w:abstractNumId w:val="36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A9402A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9402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9402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71AA4CF-5163-49A6-8316-0A0212661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2026-05-20T05:25:00Z</dcterms:created>
  <dcterms:modified xsi:type="dcterms:W3CDTF">2026-05-20T05:25:00Z</dcterms:modified>
</cp:coreProperties>
</file>