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47986C8" w:rsidR="0049405C" w:rsidRPr="00187BAA" w:rsidRDefault="00CC792F" w:rsidP="00CC792F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CC792F">
              <w:rPr>
                <w:rFonts w:ascii="宋体" w:eastAsia="宋体" w:hAnsi="Times New Roman" w:hint="eastAsia"/>
                <w:b/>
                <w:color w:val="000000"/>
                <w:sz w:val="48"/>
              </w:rPr>
              <w:t>李燕萍</w:t>
            </w:r>
            <w:bookmarkEnd w:id="0"/>
          </w:p>
          <w:p w14:paraId="706EB16B" w14:textId="25349447" w:rsidR="0049405C" w:rsidRPr="00187BAA" w:rsidRDefault="00CC792F" w:rsidP="00CC792F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CC792F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资深律师·深圳</w:t>
            </w:r>
            <w:bookmarkEnd w:id="2"/>
          </w:p>
          <w:p w14:paraId="6199424A" w14:textId="6D2937AA" w:rsidR="0049405C" w:rsidRPr="00187BAA" w:rsidRDefault="00CC792F" w:rsidP="00CC792F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CC792F">
              <w:rPr>
                <w:rFonts w:ascii="宋体" w:eastAsia="宋体" w:hAnsi="Times New Roman"/>
                <w:color w:val="000000"/>
              </w:rPr>
              <w:t xml:space="preserve">+86 755 8159 3929 </w:t>
            </w:r>
            <w:bookmarkEnd w:id="3"/>
          </w:p>
          <w:p w14:paraId="4F910ACA" w14:textId="614966B9" w:rsidR="0049405C" w:rsidRPr="00187BAA" w:rsidRDefault="00CC792F" w:rsidP="00CC792F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CC792F">
              <w:rPr>
                <w:rFonts w:ascii="宋体" w:eastAsia="宋体" w:hAnsi="Times New Roman"/>
                <w:color w:val="000000"/>
              </w:rPr>
              <w:t>yanping.li@fangdalaw.com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D083DA0" w:rsidR="0049405C" w:rsidRPr="00187BAA" w:rsidRDefault="00CC792F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03113E5" wp14:editId="7D451BA1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2D2548AB" w:rsidR="009465FB" w:rsidRPr="00187BAA" w:rsidRDefault="00CC792F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CC792F">
              <w:rPr>
                <w:rFonts w:ascii="宋体" w:eastAsia="宋体" w:hAnsi="Times New Roman" w:hint="eastAsia"/>
                <w:color w:val="000000"/>
                <w:szCs w:val="21"/>
              </w:rPr>
              <w:t>李燕萍律师专注于私募股权投融资、并购、合资、重组、投资基金和一般性公司法律事务。她参与众多境内及涉外股权交易，服务的客户涵盖科技公司、投资机构、跨国企业及上市公司，并与客户保持长期深度合作。</w:t>
            </w:r>
            <w:r w:rsidRPr="00CC792F">
              <w:rPr>
                <w:rFonts w:ascii="宋体" w:eastAsia="宋体" w:hAnsi="Times New Roman"/>
                <w:color w:val="000000"/>
                <w:szCs w:val="21"/>
              </w:rPr>
              <w:t xml:space="preserve"> 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C33F20C" w14:textId="77777777" w:rsidR="00CC792F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EBA5B5C" w14:textId="77777777" w:rsidR="00CC792F" w:rsidRDefault="00CC792F" w:rsidP="00CC792F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C792F">
        <w:rPr>
          <w:rFonts w:ascii="宋体" w:eastAsia="宋体" w:hAnsi="宋体" w:hint="eastAsia"/>
          <w:b/>
          <w:sz w:val="24"/>
        </w:rPr>
        <w:t>近期代理的主要案件</w:t>
      </w:r>
    </w:p>
    <w:p w14:paraId="7A19A351" w14:textId="77777777" w:rsidR="00CC792F" w:rsidRDefault="00CC792F" w:rsidP="00CC792F">
      <w:pPr>
        <w:pStyle w:val="af5"/>
        <w:spacing w:before="120"/>
        <w:rPr>
          <w:rFonts w:ascii="宋体" w:eastAsia="宋体" w:hAnsi="Times New Roman"/>
          <w:color w:val="000000"/>
        </w:rPr>
      </w:pPr>
      <w:r w:rsidRPr="00CC792F">
        <w:rPr>
          <w:rFonts w:ascii="宋体" w:eastAsia="宋体" w:hAnsi="Times New Roman" w:hint="eastAsia"/>
          <w:color w:val="000000"/>
        </w:rPr>
        <w:t>投融资交易</w:t>
      </w:r>
    </w:p>
    <w:p w14:paraId="0B391A9B" w14:textId="77777777" w:rsidR="00CC792F" w:rsidRDefault="00CC792F" w:rsidP="00CC792F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792F">
        <w:rPr>
          <w:rFonts w:ascii="宋体" w:eastAsia="宋体" w:hAnsi="Times New Roman" w:hint="eastAsia"/>
          <w:color w:val="000000"/>
        </w:rPr>
        <w:t>代表视涯科技（</w:t>
      </w:r>
      <w:r w:rsidRPr="00CC792F">
        <w:rPr>
          <w:rFonts w:ascii="宋体" w:eastAsia="宋体" w:hAnsi="Times New Roman"/>
          <w:color w:val="000000"/>
        </w:rPr>
        <w:t>688781.SH），完成自设立至上市前所有轮次、逾24亿元的股权融资</w:t>
      </w:r>
    </w:p>
    <w:p w14:paraId="05AD5437" w14:textId="77777777" w:rsidR="00CC792F" w:rsidRDefault="00CC792F" w:rsidP="00CC792F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792F">
        <w:rPr>
          <w:rFonts w:ascii="宋体" w:eastAsia="宋体" w:hAnsi="Times New Roman" w:hint="eastAsia"/>
          <w:color w:val="000000"/>
        </w:rPr>
        <w:t>代表视涯科技（</w:t>
      </w:r>
      <w:r w:rsidRPr="00CC792F">
        <w:rPr>
          <w:rFonts w:ascii="宋体" w:eastAsia="宋体" w:hAnsi="Times New Roman"/>
          <w:color w:val="000000"/>
        </w:rPr>
        <w:t>688781.SH），完成股权重组、股份制改造、战略投资、及重大业务合作</w:t>
      </w:r>
    </w:p>
    <w:p w14:paraId="5E27580C" w14:textId="77777777" w:rsidR="00CC792F" w:rsidRDefault="00CC792F" w:rsidP="00CC792F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792F">
        <w:rPr>
          <w:rFonts w:ascii="宋体" w:eastAsia="宋体" w:hAnsi="Times New Roman" w:hint="eastAsia"/>
          <w:color w:val="000000"/>
        </w:rPr>
        <w:t>代表国际半导体龙头</w:t>
      </w:r>
      <w:r w:rsidRPr="00CC792F">
        <w:rPr>
          <w:rFonts w:ascii="宋体" w:eastAsia="宋体" w:hAnsi="Times New Roman"/>
          <w:color w:val="000000"/>
        </w:rPr>
        <w:t>ASMPT Limited（0522.HK），重组其半导体解决方案业务，并设立奥芯明半导体设备技术（上海）有限公司</w:t>
      </w:r>
    </w:p>
    <w:p w14:paraId="76259983" w14:textId="77777777" w:rsidR="00CC792F" w:rsidRDefault="00CC792F" w:rsidP="00CC792F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792F">
        <w:rPr>
          <w:rFonts w:ascii="宋体" w:eastAsia="宋体" w:hAnsi="Times New Roman" w:hint="eastAsia"/>
          <w:color w:val="000000"/>
        </w:rPr>
        <w:t>代表</w:t>
      </w:r>
      <w:r w:rsidRPr="00CC792F">
        <w:rPr>
          <w:rFonts w:ascii="宋体" w:eastAsia="宋体" w:hAnsi="Times New Roman"/>
          <w:color w:val="000000"/>
        </w:rPr>
        <w:t>ASMPT Limited（0522.HK），与智路资本合资设立晟盈半导体</w:t>
      </w:r>
    </w:p>
    <w:p w14:paraId="457814BE" w14:textId="77777777" w:rsidR="00CC792F" w:rsidRDefault="00CC792F" w:rsidP="00CC792F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792F">
        <w:rPr>
          <w:rFonts w:ascii="宋体" w:eastAsia="宋体" w:hAnsi="Times New Roman" w:hint="eastAsia"/>
          <w:color w:val="000000"/>
        </w:rPr>
        <w:t>代表阿里云，投资自变量机器人（通用具身智能大模型）</w:t>
      </w:r>
    </w:p>
    <w:p w14:paraId="3282D4C1" w14:textId="77777777" w:rsidR="00CC792F" w:rsidRDefault="00CC792F" w:rsidP="00CC792F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792F">
        <w:rPr>
          <w:rFonts w:ascii="宋体" w:eastAsia="宋体" w:hAnsi="Times New Roman" w:hint="eastAsia"/>
          <w:color w:val="000000"/>
        </w:rPr>
        <w:t>代表中金资本，投资科睿驰医疗（血管介入类医疗器械）</w:t>
      </w:r>
    </w:p>
    <w:p w14:paraId="011E4993" w14:textId="77777777" w:rsidR="00CC792F" w:rsidRDefault="00CC792F" w:rsidP="00CC792F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792F">
        <w:rPr>
          <w:rFonts w:ascii="宋体" w:eastAsia="宋体" w:hAnsi="Times New Roman" w:hint="eastAsia"/>
          <w:color w:val="000000"/>
        </w:rPr>
        <w:t>代表中金资本，投资易冲半导体（无线充电芯片）</w:t>
      </w:r>
    </w:p>
    <w:p w14:paraId="67A613EF" w14:textId="77777777" w:rsidR="00CC792F" w:rsidRDefault="00CC792F" w:rsidP="00CC792F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792F">
        <w:rPr>
          <w:rFonts w:ascii="宋体" w:eastAsia="宋体" w:hAnsi="Times New Roman" w:hint="eastAsia"/>
          <w:color w:val="000000"/>
        </w:rPr>
        <w:t>代表招商局资本，投资葆元医药并完成红筹架构重组</w:t>
      </w:r>
    </w:p>
    <w:p w14:paraId="4D0948DC" w14:textId="77777777" w:rsidR="00CC792F" w:rsidRDefault="00CC792F" w:rsidP="00CC792F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792F">
        <w:rPr>
          <w:rFonts w:ascii="宋体" w:eastAsia="宋体" w:hAnsi="Times New Roman" w:hint="eastAsia"/>
          <w:color w:val="000000"/>
        </w:rPr>
        <w:t>代表华侨城资本，战略投资国投高新（国投集团旗下新兴产业投资平台）</w:t>
      </w:r>
    </w:p>
    <w:p w14:paraId="3C3B05D2" w14:textId="77777777" w:rsidR="00CC792F" w:rsidRDefault="00CC792F" w:rsidP="00CC792F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792F">
        <w:rPr>
          <w:rFonts w:ascii="宋体" w:eastAsia="宋体" w:hAnsi="Times New Roman" w:hint="eastAsia"/>
          <w:color w:val="000000"/>
        </w:rPr>
        <w:t>代表云锋基金，投资鲸仓科技（智能仓储自动化解决方案）</w:t>
      </w:r>
    </w:p>
    <w:p w14:paraId="45D4578D" w14:textId="77777777" w:rsidR="00CC792F" w:rsidRDefault="00CC792F" w:rsidP="00CC792F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792F">
        <w:rPr>
          <w:rFonts w:ascii="宋体" w:eastAsia="宋体" w:hAnsi="Times New Roman" w:hint="eastAsia"/>
          <w:color w:val="000000"/>
        </w:rPr>
        <w:t>代表迈瑞医疗（</w:t>
      </w:r>
      <w:r w:rsidRPr="00CC792F">
        <w:rPr>
          <w:rFonts w:ascii="宋体" w:eastAsia="宋体" w:hAnsi="Times New Roman"/>
          <w:color w:val="000000"/>
        </w:rPr>
        <w:t>300760.SZ），获得逾二十家投资人的上市前投资</w:t>
      </w:r>
    </w:p>
    <w:p w14:paraId="243DE3E3" w14:textId="77777777" w:rsidR="00CC792F" w:rsidRDefault="00CC792F" w:rsidP="00CC792F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792F">
        <w:rPr>
          <w:rFonts w:ascii="宋体" w:eastAsia="宋体" w:hAnsi="Times New Roman" w:hint="eastAsia"/>
          <w:color w:val="000000"/>
        </w:rPr>
        <w:t>代表迈格松生物，完成</w:t>
      </w:r>
      <w:r w:rsidRPr="00CC792F">
        <w:rPr>
          <w:rFonts w:ascii="宋体" w:eastAsia="宋体" w:hAnsi="Times New Roman"/>
          <w:color w:val="000000"/>
        </w:rPr>
        <w:t>Pre-A轮投资</w:t>
      </w:r>
    </w:p>
    <w:p w14:paraId="56A57248" w14:textId="77777777" w:rsidR="00CC792F" w:rsidRDefault="00CC792F" w:rsidP="00CC792F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792F">
        <w:rPr>
          <w:rFonts w:ascii="宋体" w:eastAsia="宋体" w:hAnsi="Times New Roman" w:hint="eastAsia"/>
          <w:color w:val="000000"/>
        </w:rPr>
        <w:t>代表云锋基金，投资鲸仓科技（智能仓储自动化解决方案）</w:t>
      </w:r>
    </w:p>
    <w:p w14:paraId="3A9C758F" w14:textId="77777777" w:rsidR="00CC792F" w:rsidRDefault="00CC792F" w:rsidP="00CC792F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792F">
        <w:rPr>
          <w:rFonts w:ascii="宋体" w:eastAsia="宋体" w:hAnsi="Times New Roman" w:hint="eastAsia"/>
          <w:color w:val="000000"/>
        </w:rPr>
        <w:t>代表视涯科技（</w:t>
      </w:r>
      <w:r w:rsidRPr="00CC792F">
        <w:rPr>
          <w:rFonts w:ascii="宋体" w:eastAsia="宋体" w:hAnsi="Times New Roman"/>
          <w:color w:val="000000"/>
        </w:rPr>
        <w:t>688781.SH），投资XReal（AR眼镜）、理湃光晶（AR近眼显示模组）</w:t>
      </w:r>
    </w:p>
    <w:p w14:paraId="454DAD33" w14:textId="77777777" w:rsidR="00CC792F" w:rsidRDefault="00CC792F" w:rsidP="00CC792F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792F">
        <w:rPr>
          <w:rFonts w:ascii="宋体" w:eastAsia="宋体" w:hAnsi="Times New Roman" w:hint="eastAsia"/>
          <w:color w:val="000000"/>
        </w:rPr>
        <w:t>代表视涯科技（</w:t>
      </w:r>
      <w:r w:rsidRPr="00CC792F">
        <w:rPr>
          <w:rFonts w:ascii="宋体" w:eastAsia="宋体" w:hAnsi="Times New Roman"/>
          <w:color w:val="000000"/>
        </w:rPr>
        <w:t>688781.SH）、迈瑞医疗（300760.SZ）、奕瑞科技（688301.SH）、纳米维景（高速高精度辐射成像领导者），处理上市前员工股权激励事宜</w:t>
      </w:r>
    </w:p>
    <w:p w14:paraId="6DA41046" w14:textId="77777777" w:rsidR="00CC792F" w:rsidRDefault="00CC792F" w:rsidP="00CC792F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792F">
        <w:rPr>
          <w:rFonts w:ascii="宋体" w:eastAsia="宋体" w:hAnsi="Times New Roman" w:hint="eastAsia"/>
          <w:color w:val="000000"/>
        </w:rPr>
        <w:t>代表</w:t>
      </w:r>
      <w:r w:rsidRPr="00CC792F">
        <w:rPr>
          <w:rFonts w:ascii="宋体" w:eastAsia="宋体" w:hAnsi="Times New Roman"/>
          <w:color w:val="000000"/>
        </w:rPr>
        <w:t>MKS Instruments, Inc.（NASDAQ: MKSI）、Singapore Post Ltd（SGX:S08）、DFI Retail (SGX:D01)等跨国企业，处理在华投资及合资事务</w:t>
      </w:r>
    </w:p>
    <w:p w14:paraId="639AE3AF" w14:textId="77777777" w:rsidR="00CC792F" w:rsidRDefault="00CC792F" w:rsidP="00CC792F">
      <w:pPr>
        <w:pStyle w:val="af5"/>
        <w:spacing w:before="120"/>
        <w:rPr>
          <w:rFonts w:ascii="宋体" w:eastAsia="宋体" w:hAnsi="Times New Roman"/>
          <w:color w:val="000000"/>
        </w:rPr>
      </w:pPr>
      <w:r w:rsidRPr="00CC792F">
        <w:rPr>
          <w:rFonts w:ascii="宋体" w:eastAsia="宋体" w:hAnsi="Times New Roman" w:hint="eastAsia"/>
          <w:color w:val="000000"/>
        </w:rPr>
        <w:t>并购交易</w:t>
      </w:r>
    </w:p>
    <w:p w14:paraId="7B0584AB" w14:textId="77777777" w:rsidR="00CC792F" w:rsidRDefault="00CC792F" w:rsidP="00CC792F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792F">
        <w:rPr>
          <w:rFonts w:ascii="宋体" w:eastAsia="宋体" w:hAnsi="Times New Roman" w:hint="eastAsia"/>
          <w:color w:val="000000"/>
        </w:rPr>
        <w:t>代表</w:t>
      </w:r>
      <w:r w:rsidRPr="00CC792F">
        <w:rPr>
          <w:rFonts w:ascii="宋体" w:eastAsia="宋体" w:hAnsi="Times New Roman"/>
          <w:color w:val="000000"/>
        </w:rPr>
        <w:t>ASMPT Limited（0522.HK），重组其全球半导体包装物料和引线框架业务并以2亿美元向投资人出售该等业务的控制性股权</w:t>
      </w:r>
    </w:p>
    <w:p w14:paraId="3D23FF55" w14:textId="77777777" w:rsidR="00CC792F" w:rsidRDefault="00CC792F" w:rsidP="00CC792F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792F">
        <w:rPr>
          <w:rFonts w:ascii="宋体" w:eastAsia="宋体" w:hAnsi="Times New Roman" w:hint="eastAsia"/>
          <w:color w:val="000000"/>
        </w:rPr>
        <w:t>代表</w:t>
      </w:r>
      <w:r w:rsidRPr="00CC792F">
        <w:rPr>
          <w:rFonts w:ascii="宋体" w:eastAsia="宋体" w:hAnsi="Times New Roman"/>
          <w:color w:val="000000"/>
        </w:rPr>
        <w:t>ASMPT Limited（0522.HK），分别全资收购中国制造执行系统（MES）解决方案领军企业</w:t>
      </w:r>
      <w:r w:rsidRPr="00CC792F">
        <w:rPr>
          <w:rFonts w:ascii="宋体" w:eastAsia="宋体" w:hAnsi="Times New Roman"/>
          <w:color w:val="000000"/>
        </w:rPr>
        <w:t>“</w:t>
      </w:r>
      <w:r w:rsidRPr="00CC792F">
        <w:rPr>
          <w:rFonts w:ascii="宋体" w:eastAsia="宋体" w:hAnsi="Times New Roman"/>
          <w:color w:val="000000"/>
        </w:rPr>
        <w:t>深科特</w:t>
      </w:r>
      <w:r w:rsidRPr="00CC792F">
        <w:rPr>
          <w:rFonts w:ascii="宋体" w:eastAsia="宋体" w:hAnsi="Times New Roman"/>
          <w:color w:val="000000"/>
        </w:rPr>
        <w:t>”</w:t>
      </w:r>
      <w:r w:rsidRPr="00CC792F">
        <w:rPr>
          <w:rFonts w:ascii="宋体" w:eastAsia="宋体" w:hAnsi="Times New Roman"/>
          <w:color w:val="000000"/>
        </w:rPr>
        <w:t>、SMT解决方案提供商</w:t>
      </w:r>
      <w:r w:rsidRPr="00CC792F">
        <w:rPr>
          <w:rFonts w:ascii="宋体" w:eastAsia="宋体" w:hAnsi="Times New Roman"/>
          <w:color w:val="000000"/>
        </w:rPr>
        <w:t>“</w:t>
      </w:r>
      <w:r w:rsidRPr="00CC792F">
        <w:rPr>
          <w:rFonts w:ascii="宋体" w:eastAsia="宋体" w:hAnsi="Times New Roman"/>
          <w:color w:val="000000"/>
        </w:rPr>
        <w:t>博瑞先进</w:t>
      </w:r>
      <w:r w:rsidRPr="00CC792F">
        <w:rPr>
          <w:rFonts w:ascii="宋体" w:eastAsia="宋体" w:hAnsi="Times New Roman"/>
          <w:color w:val="000000"/>
        </w:rPr>
        <w:t>”</w:t>
      </w:r>
    </w:p>
    <w:p w14:paraId="2374D347" w14:textId="77777777" w:rsidR="00CC792F" w:rsidRDefault="00CC792F" w:rsidP="00CC792F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792F">
        <w:rPr>
          <w:rFonts w:ascii="宋体" w:eastAsia="宋体" w:hAnsi="Times New Roman" w:hint="eastAsia"/>
          <w:color w:val="000000"/>
        </w:rPr>
        <w:t>代表中国旅游集团，分别全资收购香港佳富物业服务有限公司、香港威信服务有限公司</w:t>
      </w:r>
    </w:p>
    <w:p w14:paraId="0A03BD80" w14:textId="77777777" w:rsidR="00CC792F" w:rsidRDefault="00CC792F" w:rsidP="00CC792F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792F">
        <w:rPr>
          <w:rFonts w:ascii="宋体" w:eastAsia="宋体" w:hAnsi="Times New Roman" w:hint="eastAsia"/>
          <w:color w:val="000000"/>
        </w:rPr>
        <w:t>代表一家上市公司，正在收购一家领先的金融科技公司</w:t>
      </w:r>
    </w:p>
    <w:p w14:paraId="517463C2" w14:textId="77777777" w:rsidR="00CC792F" w:rsidRDefault="00CC792F" w:rsidP="00CC792F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792F">
        <w:rPr>
          <w:rFonts w:ascii="宋体" w:eastAsia="宋体" w:hAnsi="Times New Roman" w:hint="eastAsia"/>
          <w:color w:val="000000"/>
        </w:rPr>
        <w:t>代表奕瑞科技（</w:t>
      </w:r>
      <w:r w:rsidRPr="00CC792F">
        <w:rPr>
          <w:rFonts w:ascii="宋体" w:eastAsia="宋体" w:hAnsi="Times New Roman"/>
          <w:color w:val="000000"/>
        </w:rPr>
        <w:t>688301.SH），收购海玮科技、鸿置新材料的控股权</w:t>
      </w:r>
    </w:p>
    <w:p w14:paraId="69B67B8A" w14:textId="77777777" w:rsidR="00CC792F" w:rsidRDefault="00CC792F" w:rsidP="00CC792F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792F">
        <w:rPr>
          <w:rFonts w:ascii="宋体" w:eastAsia="宋体" w:hAnsi="Times New Roman" w:hint="eastAsia"/>
          <w:color w:val="000000"/>
        </w:rPr>
        <w:t>代表菲森科技，收购以色列牙科技术公司</w:t>
      </w:r>
      <w:r w:rsidRPr="00CC792F">
        <w:rPr>
          <w:rFonts w:ascii="宋体" w:eastAsia="宋体" w:hAnsi="Times New Roman"/>
          <w:color w:val="000000"/>
        </w:rPr>
        <w:t>Cortex Dental在华子公司的控股权</w:t>
      </w:r>
    </w:p>
    <w:p w14:paraId="5971EAA9" w14:textId="77777777" w:rsidR="00CC792F" w:rsidRDefault="00CC792F" w:rsidP="00CC792F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792F">
        <w:rPr>
          <w:rFonts w:ascii="宋体" w:eastAsia="宋体" w:hAnsi="Times New Roman" w:hint="eastAsia"/>
          <w:color w:val="000000"/>
        </w:rPr>
        <w:t>代表阿里影业（</w:t>
      </w:r>
      <w:r w:rsidRPr="00CC792F">
        <w:rPr>
          <w:rFonts w:ascii="宋体" w:eastAsia="宋体" w:hAnsi="Times New Roman"/>
          <w:color w:val="000000"/>
        </w:rPr>
        <w:t>1060.HK），以人民币8.3亿元收购粤科软件100%股权</w:t>
      </w:r>
    </w:p>
    <w:p w14:paraId="0559521F" w14:textId="77777777" w:rsidR="00CC792F" w:rsidRDefault="00CC792F" w:rsidP="00CC792F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792F">
        <w:rPr>
          <w:rFonts w:ascii="宋体" w:eastAsia="宋体" w:hAnsi="Times New Roman" w:hint="eastAsia"/>
          <w:color w:val="000000"/>
        </w:rPr>
        <w:t>代表一家科技公司，拟收购新思科技（</w:t>
      </w:r>
      <w:r w:rsidRPr="00CC792F">
        <w:rPr>
          <w:rFonts w:ascii="宋体" w:eastAsia="宋体" w:hAnsi="Times New Roman"/>
          <w:color w:val="000000"/>
        </w:rPr>
        <w:t>NASDAQ: SYNA）TDDI亚洲业务</w:t>
      </w:r>
    </w:p>
    <w:p w14:paraId="3C25B17E" w14:textId="77777777" w:rsidR="00CC792F" w:rsidRDefault="00CC792F" w:rsidP="00CC792F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792F">
        <w:rPr>
          <w:rFonts w:ascii="宋体" w:eastAsia="宋体" w:hAnsi="Times New Roman" w:hint="eastAsia"/>
          <w:color w:val="000000"/>
        </w:rPr>
        <w:t>代表一家上市公司，拟收购</w:t>
      </w:r>
      <w:r w:rsidRPr="00CC792F">
        <w:rPr>
          <w:rFonts w:ascii="宋体" w:eastAsia="宋体" w:hAnsi="Times New Roman"/>
          <w:color w:val="000000"/>
        </w:rPr>
        <w:t>GE HealthCare（NASDAQ: GEHC）若干美国资产及业务</w:t>
      </w:r>
    </w:p>
    <w:p w14:paraId="53DA36DB" w14:textId="77777777" w:rsidR="00CC792F" w:rsidRDefault="00CC792F" w:rsidP="00CC792F">
      <w:pPr>
        <w:pStyle w:val="af5"/>
        <w:spacing w:before="120"/>
        <w:rPr>
          <w:rFonts w:ascii="宋体" w:eastAsia="宋体" w:hAnsi="Times New Roman"/>
          <w:color w:val="000000"/>
        </w:rPr>
      </w:pPr>
      <w:r w:rsidRPr="00CC792F">
        <w:rPr>
          <w:rFonts w:ascii="宋体" w:eastAsia="宋体" w:hAnsi="Times New Roman" w:hint="eastAsia"/>
          <w:color w:val="000000"/>
        </w:rPr>
        <w:t>基金交易</w:t>
      </w:r>
    </w:p>
    <w:p w14:paraId="7103A182" w14:textId="77777777" w:rsidR="00CC792F" w:rsidRDefault="00CC792F" w:rsidP="00CC792F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792F">
        <w:rPr>
          <w:rFonts w:ascii="宋体" w:eastAsia="宋体" w:hAnsi="Times New Roman" w:hint="eastAsia"/>
          <w:color w:val="000000"/>
        </w:rPr>
        <w:t>代表中金资本、招商局资本、华润资本，作为</w:t>
      </w:r>
      <w:r w:rsidRPr="00CC792F">
        <w:rPr>
          <w:rFonts w:ascii="宋体" w:eastAsia="宋体" w:hAnsi="Times New Roman"/>
          <w:color w:val="000000"/>
        </w:rPr>
        <w:t>GP设立近十支私募股权基金</w:t>
      </w:r>
    </w:p>
    <w:p w14:paraId="4C6BD711" w14:textId="77777777" w:rsidR="00CC792F" w:rsidRDefault="00CC792F" w:rsidP="00CC792F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792F">
        <w:rPr>
          <w:rFonts w:ascii="宋体" w:eastAsia="宋体" w:hAnsi="Times New Roman" w:hint="eastAsia"/>
          <w:color w:val="000000"/>
        </w:rPr>
        <w:t>代表中金资本、招商局资本、天翼资本，作为</w:t>
      </w:r>
      <w:r w:rsidRPr="00CC792F">
        <w:rPr>
          <w:rFonts w:ascii="宋体" w:eastAsia="宋体" w:hAnsi="Times New Roman"/>
          <w:color w:val="000000"/>
        </w:rPr>
        <w:t>LP投资数十支私募股权基金</w:t>
      </w:r>
    </w:p>
    <w:p w14:paraId="6276C4CF" w14:textId="77777777" w:rsidR="00CC792F" w:rsidRDefault="00CC792F" w:rsidP="00CC792F">
      <w:pPr>
        <w:pStyle w:val="af5"/>
        <w:numPr>
          <w:ilvl w:val="0"/>
          <w:numId w:val="3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792F">
        <w:rPr>
          <w:rFonts w:ascii="宋体" w:eastAsia="宋体" w:hAnsi="Times New Roman" w:hint="eastAsia"/>
          <w:color w:val="000000"/>
        </w:rPr>
        <w:t>代表</w:t>
      </w:r>
      <w:r w:rsidRPr="00CC792F">
        <w:rPr>
          <w:rFonts w:ascii="宋体" w:eastAsia="宋体" w:hAnsi="Times New Roman"/>
          <w:color w:val="000000"/>
        </w:rPr>
        <w:t>Coller Capital，收购多支私募股权基金的LP份额</w:t>
      </w:r>
    </w:p>
    <w:p w14:paraId="66D01850" w14:textId="77777777" w:rsidR="00CC792F" w:rsidRDefault="00CC792F" w:rsidP="00CC792F">
      <w:pPr>
        <w:pStyle w:val="af5"/>
        <w:numPr>
          <w:ilvl w:val="0"/>
          <w:numId w:val="3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792F">
        <w:rPr>
          <w:rFonts w:ascii="宋体" w:eastAsia="宋体" w:hAnsi="Times New Roman" w:hint="eastAsia"/>
          <w:color w:val="000000"/>
        </w:rPr>
        <w:t>代表招商局资本、长城资管，拟全面收购若干处于退出期的私募股权基金</w:t>
      </w:r>
    </w:p>
    <w:p w14:paraId="61BE6102" w14:textId="77777777" w:rsidR="00CC792F" w:rsidRDefault="00CC792F" w:rsidP="00CC792F">
      <w:pPr>
        <w:pStyle w:val="af5"/>
        <w:numPr>
          <w:ilvl w:val="0"/>
          <w:numId w:val="3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792F">
        <w:rPr>
          <w:rFonts w:ascii="宋体" w:eastAsia="宋体" w:hAnsi="Times New Roman" w:hint="eastAsia"/>
          <w:color w:val="000000"/>
        </w:rPr>
        <w:t>代表青锐资本，处理其募资、项目投资、投后管理、基金运营及合规事务</w:t>
      </w:r>
    </w:p>
    <w:p w14:paraId="3DB5B1C6" w14:textId="77777777" w:rsidR="00CC792F" w:rsidRDefault="00CC792F" w:rsidP="00CC792F">
      <w:pPr>
        <w:pStyle w:val="af5"/>
        <w:numPr>
          <w:ilvl w:val="0"/>
          <w:numId w:val="3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792F">
        <w:rPr>
          <w:rFonts w:ascii="宋体" w:eastAsia="宋体" w:hAnsi="Times New Roman" w:hint="eastAsia"/>
          <w:color w:val="000000"/>
        </w:rPr>
        <w:t>代表奕瑞科技（</w:t>
      </w:r>
      <w:r w:rsidRPr="00CC792F">
        <w:rPr>
          <w:rFonts w:ascii="宋体" w:eastAsia="宋体" w:hAnsi="Times New Roman"/>
          <w:color w:val="000000"/>
        </w:rPr>
        <w:t>688301.SH）、视涯科技（688781.SH）、碳云科技，投资多支产业基金</w:t>
      </w:r>
    </w:p>
    <w:p w14:paraId="1ACCC1AA" w14:textId="77777777" w:rsidR="00CC792F" w:rsidRDefault="00CC792F" w:rsidP="00CC792F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C792F">
        <w:rPr>
          <w:rFonts w:ascii="宋体" w:eastAsia="宋体" w:hAnsi="宋体" w:hint="eastAsia"/>
          <w:b/>
          <w:sz w:val="24"/>
        </w:rPr>
        <w:t>教育背景</w:t>
      </w:r>
    </w:p>
    <w:p w14:paraId="0F246ECE" w14:textId="77777777" w:rsidR="00CC792F" w:rsidRDefault="00CC792F" w:rsidP="00CC792F">
      <w:pPr>
        <w:pStyle w:val="af5"/>
        <w:numPr>
          <w:ilvl w:val="0"/>
          <w:numId w:val="3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792F">
        <w:rPr>
          <w:rFonts w:ascii="宋体" w:eastAsia="宋体" w:hAnsi="Times New Roman" w:hint="eastAsia"/>
          <w:color w:val="000000"/>
        </w:rPr>
        <w:t>北京大学，法律硕士</w:t>
      </w:r>
    </w:p>
    <w:p w14:paraId="26CCBED4" w14:textId="77777777" w:rsidR="00CC792F" w:rsidRDefault="00CC792F" w:rsidP="00CC792F">
      <w:pPr>
        <w:pStyle w:val="af5"/>
        <w:numPr>
          <w:ilvl w:val="0"/>
          <w:numId w:val="3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792F">
        <w:rPr>
          <w:rFonts w:ascii="宋体" w:eastAsia="宋体" w:hAnsi="Times New Roman" w:hint="eastAsia"/>
          <w:color w:val="000000"/>
        </w:rPr>
        <w:t>中国政法大学，法学学士</w:t>
      </w:r>
    </w:p>
    <w:p w14:paraId="6990DF10" w14:textId="77777777" w:rsidR="00CC792F" w:rsidRDefault="00CC792F" w:rsidP="00CC792F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C792F">
        <w:rPr>
          <w:rFonts w:ascii="宋体" w:eastAsia="宋体" w:hAnsi="宋体" w:hint="eastAsia"/>
          <w:b/>
          <w:sz w:val="24"/>
        </w:rPr>
        <w:t>执业资格</w:t>
      </w:r>
    </w:p>
    <w:p w14:paraId="157B585F" w14:textId="77777777" w:rsidR="00CC792F" w:rsidRDefault="00CC792F" w:rsidP="00CC792F">
      <w:pPr>
        <w:pStyle w:val="af5"/>
        <w:numPr>
          <w:ilvl w:val="0"/>
          <w:numId w:val="3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792F">
        <w:rPr>
          <w:rFonts w:ascii="宋体" w:eastAsia="宋体" w:hAnsi="Times New Roman" w:hint="eastAsia"/>
          <w:color w:val="000000"/>
        </w:rPr>
        <w:t>中华人民共和国执业律师</w:t>
      </w:r>
    </w:p>
    <w:p w14:paraId="22450F3C" w14:textId="77777777" w:rsidR="00CC792F" w:rsidRDefault="00CC792F" w:rsidP="00CC792F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C792F">
        <w:rPr>
          <w:rFonts w:ascii="宋体" w:eastAsia="宋体" w:hAnsi="宋体" w:hint="eastAsia"/>
          <w:b/>
          <w:sz w:val="24"/>
        </w:rPr>
        <w:t>职业背景</w:t>
      </w:r>
    </w:p>
    <w:p w14:paraId="4F0A196B" w14:textId="41DA8876" w:rsidR="00A46A04" w:rsidRPr="00CC792F" w:rsidRDefault="00CC792F" w:rsidP="00CC792F">
      <w:pPr>
        <w:pStyle w:val="af5"/>
        <w:numPr>
          <w:ilvl w:val="0"/>
          <w:numId w:val="3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C792F">
        <w:rPr>
          <w:rFonts w:ascii="宋体" w:eastAsia="宋体" w:hAnsi="Times New Roman" w:hint="eastAsia"/>
          <w:color w:val="000000"/>
        </w:rPr>
        <w:t>李燕萍律师于</w:t>
      </w:r>
      <w:r w:rsidRPr="00CC792F">
        <w:rPr>
          <w:rFonts w:ascii="宋体" w:eastAsia="宋体" w:hAnsi="Times New Roman"/>
          <w:color w:val="000000"/>
        </w:rPr>
        <w:t>2015年加入方达律师事务所。</w:t>
      </w:r>
    </w:p>
    <w:sectPr w:rsidR="00A46A04" w:rsidRPr="00CC792F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84020"/>
    <w:multiLevelType w:val="singleLevel"/>
    <w:tmpl w:val="AB10F6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3A324F2"/>
    <w:multiLevelType w:val="singleLevel"/>
    <w:tmpl w:val="27008B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8C82403"/>
    <w:multiLevelType w:val="singleLevel"/>
    <w:tmpl w:val="B52CF1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B4C096F"/>
    <w:multiLevelType w:val="singleLevel"/>
    <w:tmpl w:val="9A02B9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D7F65CC"/>
    <w:multiLevelType w:val="singleLevel"/>
    <w:tmpl w:val="9AE24B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15F1CD8"/>
    <w:multiLevelType w:val="singleLevel"/>
    <w:tmpl w:val="E2546B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8A51B10"/>
    <w:multiLevelType w:val="singleLevel"/>
    <w:tmpl w:val="A81CCE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90A4147"/>
    <w:multiLevelType w:val="singleLevel"/>
    <w:tmpl w:val="6C6E4A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D8C3AFE"/>
    <w:multiLevelType w:val="singleLevel"/>
    <w:tmpl w:val="9E1625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EDA40D5"/>
    <w:multiLevelType w:val="singleLevel"/>
    <w:tmpl w:val="FF18E5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32904EF"/>
    <w:multiLevelType w:val="singleLevel"/>
    <w:tmpl w:val="8C9CA6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9247379"/>
    <w:multiLevelType w:val="singleLevel"/>
    <w:tmpl w:val="3DAAED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E400FF0"/>
    <w:multiLevelType w:val="singleLevel"/>
    <w:tmpl w:val="9FC00D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137561D"/>
    <w:multiLevelType w:val="singleLevel"/>
    <w:tmpl w:val="F4BEA8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4E31C87"/>
    <w:multiLevelType w:val="singleLevel"/>
    <w:tmpl w:val="D3BC84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817178C"/>
    <w:multiLevelType w:val="singleLevel"/>
    <w:tmpl w:val="ED428C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3E3F4714"/>
    <w:multiLevelType w:val="singleLevel"/>
    <w:tmpl w:val="96B40C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11751F9"/>
    <w:multiLevelType w:val="singleLevel"/>
    <w:tmpl w:val="E21AC1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27A05F9"/>
    <w:multiLevelType w:val="singleLevel"/>
    <w:tmpl w:val="D1A8C3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7B112C7"/>
    <w:multiLevelType w:val="singleLevel"/>
    <w:tmpl w:val="CA98A8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8082C51"/>
    <w:multiLevelType w:val="singleLevel"/>
    <w:tmpl w:val="CE52B0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8854910"/>
    <w:multiLevelType w:val="singleLevel"/>
    <w:tmpl w:val="AE3E10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4B7C2472"/>
    <w:multiLevelType w:val="singleLevel"/>
    <w:tmpl w:val="EF60FF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5417566"/>
    <w:multiLevelType w:val="singleLevel"/>
    <w:tmpl w:val="044EA2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7767F25"/>
    <w:multiLevelType w:val="singleLevel"/>
    <w:tmpl w:val="72F217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B481EB3"/>
    <w:multiLevelType w:val="singleLevel"/>
    <w:tmpl w:val="770452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27C7B0E"/>
    <w:multiLevelType w:val="singleLevel"/>
    <w:tmpl w:val="EF60FF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3C243D8"/>
    <w:multiLevelType w:val="singleLevel"/>
    <w:tmpl w:val="92F663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9BC2E27"/>
    <w:multiLevelType w:val="singleLevel"/>
    <w:tmpl w:val="30EC2A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6A592129"/>
    <w:multiLevelType w:val="singleLevel"/>
    <w:tmpl w:val="601A5F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6BA74279"/>
    <w:multiLevelType w:val="singleLevel"/>
    <w:tmpl w:val="D9D08D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6C6647D1"/>
    <w:multiLevelType w:val="singleLevel"/>
    <w:tmpl w:val="21B8E8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6CE672D1"/>
    <w:multiLevelType w:val="singleLevel"/>
    <w:tmpl w:val="9E7434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6D581D1D"/>
    <w:multiLevelType w:val="singleLevel"/>
    <w:tmpl w:val="737A99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78897F01"/>
    <w:multiLevelType w:val="singleLevel"/>
    <w:tmpl w:val="D9BED2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7BDB5710"/>
    <w:multiLevelType w:val="singleLevel"/>
    <w:tmpl w:val="DA020F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3"/>
  </w:num>
  <w:num w:numId="2">
    <w:abstractNumId w:val="17"/>
  </w:num>
  <w:num w:numId="3">
    <w:abstractNumId w:val="9"/>
  </w:num>
  <w:num w:numId="4">
    <w:abstractNumId w:val="23"/>
  </w:num>
  <w:num w:numId="5">
    <w:abstractNumId w:val="25"/>
  </w:num>
  <w:num w:numId="6">
    <w:abstractNumId w:val="6"/>
  </w:num>
  <w:num w:numId="7">
    <w:abstractNumId w:val="14"/>
  </w:num>
  <w:num w:numId="8">
    <w:abstractNumId w:val="26"/>
  </w:num>
  <w:num w:numId="9">
    <w:abstractNumId w:val="30"/>
  </w:num>
  <w:num w:numId="10">
    <w:abstractNumId w:val="12"/>
  </w:num>
  <w:num w:numId="11">
    <w:abstractNumId w:val="21"/>
  </w:num>
  <w:num w:numId="12">
    <w:abstractNumId w:val="0"/>
  </w:num>
  <w:num w:numId="13">
    <w:abstractNumId w:val="36"/>
  </w:num>
  <w:num w:numId="14">
    <w:abstractNumId w:val="27"/>
  </w:num>
  <w:num w:numId="15">
    <w:abstractNumId w:val="32"/>
  </w:num>
  <w:num w:numId="16">
    <w:abstractNumId w:val="7"/>
  </w:num>
  <w:num w:numId="17">
    <w:abstractNumId w:val="10"/>
  </w:num>
  <w:num w:numId="18">
    <w:abstractNumId w:val="20"/>
  </w:num>
  <w:num w:numId="19">
    <w:abstractNumId w:val="5"/>
  </w:num>
  <w:num w:numId="20">
    <w:abstractNumId w:val="4"/>
  </w:num>
  <w:num w:numId="21">
    <w:abstractNumId w:val="1"/>
  </w:num>
  <w:num w:numId="22">
    <w:abstractNumId w:val="37"/>
  </w:num>
  <w:num w:numId="23">
    <w:abstractNumId w:val="8"/>
  </w:num>
  <w:num w:numId="24">
    <w:abstractNumId w:val="22"/>
  </w:num>
  <w:num w:numId="25">
    <w:abstractNumId w:val="29"/>
  </w:num>
  <w:num w:numId="26">
    <w:abstractNumId w:val="11"/>
  </w:num>
  <w:num w:numId="27">
    <w:abstractNumId w:val="16"/>
  </w:num>
  <w:num w:numId="28">
    <w:abstractNumId w:val="3"/>
  </w:num>
  <w:num w:numId="29">
    <w:abstractNumId w:val="31"/>
  </w:num>
  <w:num w:numId="30">
    <w:abstractNumId w:val="33"/>
  </w:num>
  <w:num w:numId="31">
    <w:abstractNumId w:val="35"/>
  </w:num>
  <w:num w:numId="32">
    <w:abstractNumId w:val="15"/>
  </w:num>
  <w:num w:numId="33">
    <w:abstractNumId w:val="18"/>
  </w:num>
  <w:num w:numId="34">
    <w:abstractNumId w:val="2"/>
  </w:num>
  <w:num w:numId="35">
    <w:abstractNumId w:val="34"/>
  </w:num>
  <w:num w:numId="36">
    <w:abstractNumId w:val="19"/>
  </w:num>
  <w:num w:numId="37">
    <w:abstractNumId w:val="28"/>
  </w:num>
  <w:num w:numId="3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C792F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C792F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C792F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34B670D-377F-4506-B684-730C1C879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1324</Characters>
  <Application>Microsoft Office Word</Application>
  <DocSecurity>0</DocSecurity>
  <Lines>11</Lines>
  <Paragraphs>3</Paragraphs>
  <ScaleCrop>false</ScaleCrop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2026-10-21T02:00:00Z</dcterms:created>
  <dcterms:modified xsi:type="dcterms:W3CDTF">2026-10-21T02:00:00Z</dcterms:modified>
</cp:coreProperties>
</file>