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4708F0" w:rsidR="0049405C" w:rsidRPr="00187BAA" w:rsidRDefault="00250B9B" w:rsidP="00250B9B">
            <w:pPr>
              <w:spacing w:line="720" w:lineRule="auto"/>
              <w:rPr>
                <w:rFonts w:ascii="宋体" w:eastAsia="宋体" w:hAnsi="宋体"/>
                <w:color w:val="545551"/>
              </w:rPr>
            </w:pPr>
            <w:bookmarkStart w:id="0" w:name="xingming"/>
            <w:bookmarkStart w:id="1" w:name="_GoBack"/>
            <w:bookmarkEnd w:id="1"/>
            <w:r w:rsidRPr="00250B9B">
              <w:rPr>
                <w:rFonts w:ascii="宋体" w:eastAsia="宋体" w:hAnsi="Times New Roman" w:hint="eastAsia"/>
                <w:b/>
                <w:color w:val="000000"/>
                <w:sz w:val="48"/>
              </w:rPr>
              <w:t>干潇露</w:t>
            </w:r>
            <w:bookmarkEnd w:id="0"/>
          </w:p>
          <w:p w14:paraId="706EB16B" w14:textId="382ECDA2" w:rsidR="0049405C" w:rsidRPr="00187BAA" w:rsidRDefault="00250B9B" w:rsidP="00250B9B">
            <w:pPr>
              <w:spacing w:line="360" w:lineRule="auto"/>
              <w:rPr>
                <w:rFonts w:ascii="宋体" w:eastAsia="宋体" w:hAnsi="宋体"/>
                <w:b/>
                <w:bCs/>
                <w:color w:val="545551"/>
              </w:rPr>
            </w:pPr>
            <w:bookmarkStart w:id="2" w:name="didian"/>
            <w:r w:rsidRPr="00250B9B">
              <w:rPr>
                <w:rFonts w:ascii="宋体" w:eastAsia="宋体" w:hAnsi="Times New Roman" w:hint="eastAsia"/>
                <w:b/>
                <w:bCs/>
                <w:color w:val="000000"/>
              </w:rPr>
              <w:t>资深律师·上海</w:t>
            </w:r>
            <w:bookmarkEnd w:id="2"/>
          </w:p>
          <w:p w14:paraId="6199424A" w14:textId="76938FA6" w:rsidR="0049405C" w:rsidRPr="00187BAA" w:rsidRDefault="00250B9B" w:rsidP="00250B9B">
            <w:pPr>
              <w:spacing w:line="360" w:lineRule="auto"/>
              <w:rPr>
                <w:rFonts w:ascii="宋体" w:eastAsia="宋体" w:hAnsi="宋体"/>
                <w:color w:val="545551"/>
              </w:rPr>
            </w:pPr>
            <w:bookmarkStart w:id="3" w:name="dianhua"/>
            <w:r w:rsidRPr="00250B9B">
              <w:rPr>
                <w:rFonts w:ascii="宋体" w:eastAsia="宋体" w:hAnsi="Times New Roman"/>
                <w:color w:val="000000"/>
              </w:rPr>
              <w:t xml:space="preserve">+86 21 6263 5830 </w:t>
            </w:r>
            <w:bookmarkEnd w:id="3"/>
          </w:p>
          <w:p w14:paraId="4F910ACA" w14:textId="15FABE4E" w:rsidR="0049405C" w:rsidRPr="00187BAA" w:rsidRDefault="00250B9B" w:rsidP="00250B9B">
            <w:pPr>
              <w:spacing w:line="360" w:lineRule="auto"/>
              <w:rPr>
                <w:rFonts w:ascii="宋体" w:eastAsia="宋体" w:hAnsi="宋体"/>
                <w:color w:val="000000"/>
              </w:rPr>
            </w:pPr>
            <w:bookmarkStart w:id="4" w:name="youxiang"/>
            <w:r w:rsidRPr="00250B9B">
              <w:rPr>
                <w:rFonts w:ascii="宋体" w:eastAsia="宋体" w:hAnsi="Times New Roman"/>
                <w:color w:val="000000"/>
              </w:rPr>
              <w:t>swita.gan@fangdalaw.com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1A43C3" w:rsidR="0049405C" w:rsidRPr="00187BAA" w:rsidRDefault="00250B9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A63469" wp14:editId="0CEC02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63787F" w:rsidR="009465FB" w:rsidRPr="00187BAA" w:rsidRDefault="00250B9B" w:rsidP="007177F3">
            <w:pPr>
              <w:rPr>
                <w:rFonts w:ascii="宋体" w:eastAsia="宋体" w:hAnsi="宋体"/>
                <w:color w:val="000000"/>
                <w:szCs w:val="21"/>
              </w:rPr>
            </w:pPr>
            <w:bookmarkStart w:id="6" w:name="zhiyelingyu"/>
            <w:r w:rsidRPr="00250B9B">
              <w:rPr>
                <w:rFonts w:ascii="宋体" w:eastAsia="宋体" w:hAnsi="Times New Roman" w:hint="eastAsia"/>
                <w:color w:val="000000"/>
                <w:szCs w:val="21"/>
              </w:rPr>
              <w:t>干潇露律师的执业领域为竞争法与反垄断法，包括反垄断行政调查、反垄断合规、反垄断诉讼、经营者集中申报等领域。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70E9A8" w14:textId="77777777" w:rsidR="00250B9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98E7E9" w14:textId="77777777" w:rsidR="00250B9B" w:rsidRDefault="00250B9B" w:rsidP="00250B9B">
      <w:pPr>
        <w:pStyle w:val="af5"/>
        <w:spacing w:after="0" w:line="480" w:lineRule="auto"/>
        <w:rPr>
          <w:rFonts w:ascii="宋体" w:eastAsia="宋体" w:hAnsi="宋体"/>
          <w:b/>
          <w:sz w:val="24"/>
        </w:rPr>
      </w:pPr>
      <w:r w:rsidRPr="00250B9B">
        <w:rPr>
          <w:rFonts w:ascii="宋体" w:eastAsia="宋体" w:hAnsi="宋体" w:hint="eastAsia"/>
          <w:b/>
          <w:sz w:val="24"/>
        </w:rPr>
        <w:t>近期代理的主要案件</w:t>
      </w:r>
    </w:p>
    <w:p w14:paraId="61CE520A" w14:textId="77777777" w:rsidR="00250B9B" w:rsidRDefault="00250B9B" w:rsidP="00250B9B">
      <w:pPr>
        <w:pStyle w:val="af5"/>
        <w:spacing w:before="120"/>
        <w:rPr>
          <w:rFonts w:ascii="宋体" w:eastAsia="宋体" w:hAnsi="Times New Roman"/>
          <w:color w:val="000000"/>
        </w:rPr>
      </w:pPr>
      <w:r w:rsidRPr="00250B9B">
        <w:rPr>
          <w:rFonts w:ascii="宋体" w:eastAsia="宋体" w:hAnsi="Times New Roman" w:hint="eastAsia"/>
          <w:color w:val="000000"/>
        </w:rPr>
        <w:t>反垄断合规项目包括代表</w:t>
      </w:r>
    </w:p>
    <w:p w14:paraId="1428149B" w14:textId="77777777" w:rsidR="00250B9B" w:rsidRDefault="00250B9B" w:rsidP="00250B9B">
      <w:pPr>
        <w:pStyle w:val="af5"/>
        <w:numPr>
          <w:ilvl w:val="0"/>
          <w:numId w:val="4"/>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一家全球领先的汽车制造企业，就其反垄断合规自查提供法律意见；</w:t>
      </w:r>
    </w:p>
    <w:p w14:paraId="622423FB" w14:textId="77777777" w:rsidR="00250B9B" w:rsidRDefault="00250B9B" w:rsidP="00250B9B">
      <w:pPr>
        <w:pStyle w:val="af5"/>
        <w:numPr>
          <w:ilvl w:val="0"/>
          <w:numId w:val="5"/>
        </w:numPr>
        <w:spacing w:before="120"/>
        <w:ind w:left="690" w:hanging="240"/>
        <w:rPr>
          <w:rFonts w:ascii="宋体" w:eastAsia="宋体" w:hAnsi="Times New Roman"/>
          <w:color w:val="000000"/>
        </w:rPr>
      </w:pPr>
      <w:r w:rsidRPr="00250B9B">
        <w:rPr>
          <w:rFonts w:ascii="宋体" w:eastAsia="宋体" w:hAnsi="Times New Roman" w:hint="eastAsia"/>
          <w:color w:val="000000"/>
        </w:rPr>
        <w:t>一家国有化工企业，就其在中国的反垄断合规体系建设及合规情况提供法律评估意见；</w:t>
      </w:r>
    </w:p>
    <w:p w14:paraId="710DDF5E" w14:textId="77777777" w:rsidR="00250B9B" w:rsidRDefault="00250B9B" w:rsidP="00250B9B">
      <w:pPr>
        <w:pStyle w:val="af5"/>
        <w:numPr>
          <w:ilvl w:val="0"/>
          <w:numId w:val="6"/>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一家全球领先的数码产品制造企业，就其在中国的反垄断合规体检提供法律服务；</w:t>
      </w:r>
    </w:p>
    <w:p w14:paraId="577F6A31" w14:textId="77777777" w:rsidR="00250B9B" w:rsidRDefault="00250B9B" w:rsidP="00250B9B">
      <w:pPr>
        <w:pStyle w:val="af5"/>
        <w:numPr>
          <w:ilvl w:val="0"/>
          <w:numId w:val="7"/>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一家全球领先的玻璃制造企业，就其在中国的反垄断合规情况提供体检服务；</w:t>
      </w:r>
    </w:p>
    <w:p w14:paraId="3323EB82" w14:textId="77777777" w:rsidR="00250B9B" w:rsidRDefault="00250B9B" w:rsidP="00250B9B">
      <w:pPr>
        <w:pStyle w:val="af5"/>
        <w:numPr>
          <w:ilvl w:val="0"/>
          <w:numId w:val="8"/>
        </w:numPr>
        <w:spacing w:before="120"/>
        <w:ind w:left="690" w:hanging="240"/>
        <w:rPr>
          <w:rFonts w:ascii="宋体" w:eastAsia="宋体" w:hAnsi="Times New Roman"/>
          <w:color w:val="000000"/>
        </w:rPr>
      </w:pPr>
      <w:r w:rsidRPr="00250B9B">
        <w:rPr>
          <w:rFonts w:ascii="宋体" w:eastAsia="宋体" w:hAnsi="Times New Roman" w:hint="eastAsia"/>
          <w:color w:val="000000"/>
        </w:rPr>
        <w:t>一家知名饮料企业，就其与商业合作伙伴的一系列独家交易安排提供反垄断法律意见；</w:t>
      </w:r>
    </w:p>
    <w:p w14:paraId="4006FA23" w14:textId="77777777" w:rsidR="00250B9B" w:rsidRDefault="00250B9B" w:rsidP="00250B9B">
      <w:pPr>
        <w:pStyle w:val="af5"/>
        <w:numPr>
          <w:ilvl w:val="0"/>
          <w:numId w:val="9"/>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一家全球性的化工公司，就其在中国的反垄断合规提供法律意见；</w:t>
      </w:r>
    </w:p>
    <w:p w14:paraId="1F7F81C0" w14:textId="77777777" w:rsidR="00250B9B" w:rsidRDefault="00250B9B" w:rsidP="00250B9B">
      <w:pPr>
        <w:pStyle w:val="af5"/>
        <w:numPr>
          <w:ilvl w:val="0"/>
          <w:numId w:val="10"/>
        </w:numPr>
        <w:spacing w:before="120"/>
        <w:ind w:left="690" w:hanging="240"/>
        <w:rPr>
          <w:rFonts w:ascii="宋体" w:eastAsia="宋体" w:hAnsi="Times New Roman"/>
          <w:color w:val="000000"/>
        </w:rPr>
      </w:pPr>
      <w:r w:rsidRPr="00250B9B">
        <w:rPr>
          <w:rFonts w:ascii="宋体" w:eastAsia="宋体" w:hAnsi="Times New Roman" w:hint="eastAsia"/>
          <w:color w:val="000000"/>
        </w:rPr>
        <w:t>一家国际能源公司，就其子公司与合营企业之间拟开展的价格协同行为提供法律意见；</w:t>
      </w:r>
    </w:p>
    <w:p w14:paraId="52B96DE5" w14:textId="77777777" w:rsidR="00250B9B" w:rsidRDefault="00250B9B" w:rsidP="00250B9B">
      <w:pPr>
        <w:pStyle w:val="af5"/>
        <w:numPr>
          <w:ilvl w:val="0"/>
          <w:numId w:val="11"/>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一家全球领先的电力公司，就敏感信息交换的问题提供反垄断法律意见；</w:t>
      </w:r>
    </w:p>
    <w:p w14:paraId="32BEC2A7" w14:textId="77777777" w:rsidR="00250B9B" w:rsidRDefault="00250B9B" w:rsidP="00250B9B">
      <w:pPr>
        <w:pStyle w:val="af5"/>
        <w:numPr>
          <w:ilvl w:val="0"/>
          <w:numId w:val="12"/>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一家全球领先的无菌包装公司，就调整其返利机制以减少潜在反垄断风险提供法律意见；</w:t>
      </w:r>
    </w:p>
    <w:p w14:paraId="4921BFFE" w14:textId="77777777" w:rsidR="00250B9B" w:rsidRDefault="00250B9B" w:rsidP="00250B9B">
      <w:pPr>
        <w:pStyle w:val="af5"/>
        <w:numPr>
          <w:ilvl w:val="0"/>
          <w:numId w:val="13"/>
        </w:numPr>
        <w:spacing w:before="120"/>
        <w:ind w:left="690" w:hanging="240"/>
        <w:rPr>
          <w:rFonts w:ascii="宋体" w:eastAsia="宋体" w:hAnsi="Times New Roman"/>
          <w:color w:val="000000"/>
        </w:rPr>
      </w:pPr>
      <w:r w:rsidRPr="00250B9B">
        <w:rPr>
          <w:rFonts w:ascii="宋体" w:eastAsia="宋体" w:hAnsi="Times New Roman" w:hint="eastAsia"/>
          <w:color w:val="000000"/>
        </w:rPr>
        <w:t>多家跨国医药公司，就涉及医改背景下分销和商业化安排的中国竞争法问题提供法律意见；及</w:t>
      </w:r>
    </w:p>
    <w:p w14:paraId="14961DA2" w14:textId="77777777" w:rsidR="00250B9B" w:rsidRDefault="00250B9B" w:rsidP="00250B9B">
      <w:pPr>
        <w:pStyle w:val="af5"/>
        <w:numPr>
          <w:ilvl w:val="0"/>
          <w:numId w:val="14"/>
        </w:numPr>
        <w:spacing w:before="120"/>
        <w:ind w:left="690" w:hanging="240"/>
        <w:rPr>
          <w:rFonts w:ascii="宋体" w:eastAsia="宋体" w:hAnsi="Times New Roman"/>
          <w:color w:val="000000"/>
        </w:rPr>
      </w:pPr>
      <w:r w:rsidRPr="00250B9B">
        <w:rPr>
          <w:rFonts w:ascii="宋体" w:eastAsia="宋体" w:hAnsi="Times New Roman" w:hint="eastAsia"/>
          <w:color w:val="000000"/>
        </w:rPr>
        <w:t>多家全球</w:t>
      </w:r>
      <w:r w:rsidRPr="00250B9B">
        <w:rPr>
          <w:rFonts w:ascii="宋体" w:eastAsia="宋体" w:hAnsi="Times New Roman"/>
          <w:color w:val="000000"/>
        </w:rPr>
        <w:t>500强企业，在反垄断内部审查、反垄断合规培训、日常反垄断法律咨询等方面提供服务。</w:t>
      </w:r>
    </w:p>
    <w:p w14:paraId="36D60644" w14:textId="77777777" w:rsidR="00250B9B" w:rsidRDefault="00250B9B" w:rsidP="00250B9B">
      <w:pPr>
        <w:pStyle w:val="af5"/>
        <w:spacing w:before="120"/>
        <w:rPr>
          <w:rFonts w:ascii="宋体" w:eastAsia="宋体" w:hAnsi="Times New Roman"/>
          <w:color w:val="000000"/>
        </w:rPr>
      </w:pPr>
      <w:r w:rsidRPr="00250B9B">
        <w:rPr>
          <w:rFonts w:ascii="宋体" w:eastAsia="宋体" w:hAnsi="Times New Roman" w:hint="eastAsia"/>
          <w:color w:val="000000"/>
        </w:rPr>
        <w:t>反垄断调查项目包括代表</w:t>
      </w:r>
    </w:p>
    <w:p w14:paraId="301422CB" w14:textId="77777777" w:rsidR="00250B9B" w:rsidRDefault="00250B9B" w:rsidP="00250B9B">
      <w:pPr>
        <w:pStyle w:val="af5"/>
        <w:numPr>
          <w:ilvl w:val="0"/>
          <w:numId w:val="15"/>
        </w:numPr>
        <w:spacing w:before="120"/>
        <w:ind w:left="690" w:hanging="240"/>
        <w:rPr>
          <w:rFonts w:ascii="宋体" w:eastAsia="宋体" w:hAnsi="Times New Roman"/>
          <w:color w:val="000000"/>
        </w:rPr>
      </w:pPr>
      <w:r w:rsidRPr="00250B9B">
        <w:rPr>
          <w:rFonts w:ascii="宋体" w:eastAsia="宋体" w:hAnsi="Times New Roman" w:hint="eastAsia"/>
          <w:color w:val="000000"/>
        </w:rPr>
        <w:t>阿里巴巴集团，应对国家市场监管总局就其滥用市场支配地位展开的反垄断行政调查；</w:t>
      </w:r>
    </w:p>
    <w:p w14:paraId="5AC7BD54" w14:textId="77777777" w:rsidR="00250B9B" w:rsidRDefault="00250B9B" w:rsidP="00250B9B">
      <w:pPr>
        <w:pStyle w:val="af5"/>
        <w:numPr>
          <w:ilvl w:val="0"/>
          <w:numId w:val="16"/>
        </w:numPr>
        <w:spacing w:before="120"/>
        <w:ind w:left="690" w:hanging="240"/>
        <w:rPr>
          <w:rFonts w:ascii="宋体" w:eastAsia="宋体" w:hAnsi="Times New Roman"/>
          <w:color w:val="000000"/>
        </w:rPr>
      </w:pPr>
      <w:r w:rsidRPr="00250B9B">
        <w:rPr>
          <w:rFonts w:ascii="宋体" w:eastAsia="宋体" w:hAnsi="Times New Roman" w:hint="eastAsia"/>
          <w:color w:val="000000"/>
        </w:rPr>
        <w:t>伊士曼化工公司，应对国家工商总局针对其滥用市场支配地位行为的反垄断调查及国家发改委针对其维持转售价格行为的反垄断调查；</w:t>
      </w:r>
    </w:p>
    <w:p w14:paraId="685AAAA2" w14:textId="77777777" w:rsidR="00250B9B" w:rsidRDefault="00250B9B" w:rsidP="00250B9B">
      <w:pPr>
        <w:pStyle w:val="af5"/>
        <w:numPr>
          <w:ilvl w:val="0"/>
          <w:numId w:val="17"/>
        </w:numPr>
        <w:spacing w:before="120"/>
        <w:ind w:left="690" w:hanging="240"/>
        <w:rPr>
          <w:rFonts w:ascii="宋体" w:eastAsia="宋体" w:hAnsi="Times New Roman"/>
          <w:color w:val="000000"/>
        </w:rPr>
      </w:pPr>
      <w:r w:rsidRPr="00250B9B">
        <w:rPr>
          <w:rFonts w:ascii="宋体" w:eastAsia="宋体" w:hAnsi="Times New Roman" w:hint="eastAsia"/>
          <w:color w:val="000000"/>
        </w:rPr>
        <w:t>大北欧通讯，应对地方发改委（根据国家发改委指示）对其进行的反垄断调查；</w:t>
      </w:r>
    </w:p>
    <w:p w14:paraId="564D312B" w14:textId="77777777" w:rsidR="00250B9B" w:rsidRDefault="00250B9B" w:rsidP="00250B9B">
      <w:pPr>
        <w:pStyle w:val="af5"/>
        <w:numPr>
          <w:ilvl w:val="0"/>
          <w:numId w:val="18"/>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一家全球领先的医药企业应对浙江省市场监督管理局的反垄断调查；</w:t>
      </w:r>
    </w:p>
    <w:p w14:paraId="4D7A9A71" w14:textId="77777777" w:rsidR="00250B9B" w:rsidRDefault="00250B9B" w:rsidP="00250B9B">
      <w:pPr>
        <w:pStyle w:val="af5"/>
        <w:numPr>
          <w:ilvl w:val="0"/>
          <w:numId w:val="19"/>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一家全球消费品企业应对上海市市场监督管理局启动的针对纵向价格限制的调查；</w:t>
      </w:r>
    </w:p>
    <w:p w14:paraId="47F52B82" w14:textId="77777777" w:rsidR="00250B9B" w:rsidRDefault="00250B9B" w:rsidP="00250B9B">
      <w:pPr>
        <w:pStyle w:val="af5"/>
        <w:numPr>
          <w:ilvl w:val="0"/>
          <w:numId w:val="20"/>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一家全球性的制造企业，应对国家发改委针对其滥用市场支配地位行为的反垄断调查；</w:t>
      </w:r>
    </w:p>
    <w:p w14:paraId="78369530" w14:textId="77777777" w:rsidR="00250B9B" w:rsidRDefault="00250B9B" w:rsidP="00250B9B">
      <w:pPr>
        <w:pStyle w:val="af5"/>
        <w:numPr>
          <w:ilvl w:val="0"/>
          <w:numId w:val="21"/>
        </w:numPr>
        <w:spacing w:before="120"/>
        <w:ind w:left="690" w:hanging="240"/>
        <w:rPr>
          <w:rFonts w:ascii="宋体" w:eastAsia="宋体" w:hAnsi="Times New Roman"/>
          <w:color w:val="000000"/>
        </w:rPr>
      </w:pPr>
      <w:r w:rsidRPr="00250B9B">
        <w:rPr>
          <w:rFonts w:ascii="宋体" w:eastAsia="宋体" w:hAnsi="Times New Roman" w:hint="eastAsia"/>
          <w:color w:val="000000"/>
        </w:rPr>
        <w:t>两家跨国汽车企业，应对市场监管局对其进行的反垄断调查；</w:t>
      </w:r>
    </w:p>
    <w:p w14:paraId="60D7878B" w14:textId="77777777" w:rsidR="00250B9B" w:rsidRDefault="00250B9B" w:rsidP="00250B9B">
      <w:pPr>
        <w:pStyle w:val="af5"/>
        <w:numPr>
          <w:ilvl w:val="0"/>
          <w:numId w:val="22"/>
        </w:numPr>
        <w:spacing w:before="120"/>
        <w:ind w:left="690" w:hanging="240"/>
        <w:rPr>
          <w:rFonts w:ascii="宋体" w:eastAsia="宋体" w:hAnsi="Times New Roman"/>
          <w:color w:val="000000"/>
        </w:rPr>
      </w:pPr>
      <w:r w:rsidRPr="00250B9B">
        <w:rPr>
          <w:rFonts w:ascii="宋体" w:eastAsia="宋体" w:hAnsi="Times New Roman" w:hint="eastAsia"/>
          <w:color w:val="000000"/>
        </w:rPr>
        <w:t>一家全球性的高科技企业，应对国家工商总局对其启动的反垄断调查；以及</w:t>
      </w:r>
    </w:p>
    <w:p w14:paraId="17C08EEE" w14:textId="77777777" w:rsidR="00250B9B" w:rsidRDefault="00250B9B" w:rsidP="00250B9B">
      <w:pPr>
        <w:pStyle w:val="af5"/>
        <w:numPr>
          <w:ilvl w:val="0"/>
          <w:numId w:val="23"/>
        </w:numPr>
        <w:spacing w:before="120"/>
        <w:ind w:left="690" w:hanging="240"/>
        <w:rPr>
          <w:rFonts w:ascii="宋体" w:eastAsia="宋体" w:hAnsi="Times New Roman"/>
          <w:color w:val="000000"/>
        </w:rPr>
      </w:pPr>
      <w:r w:rsidRPr="00250B9B">
        <w:rPr>
          <w:rFonts w:ascii="宋体" w:eastAsia="宋体" w:hAnsi="Times New Roman" w:hint="eastAsia"/>
          <w:color w:val="000000"/>
        </w:rPr>
        <w:t>一家生产高端眼镜的公司，应对国家发改委对其启动的突击检查并协助回复发改委向其发出的后续问询。</w:t>
      </w:r>
    </w:p>
    <w:p w14:paraId="52A7948D" w14:textId="77777777" w:rsidR="00250B9B" w:rsidRDefault="00250B9B" w:rsidP="00250B9B">
      <w:pPr>
        <w:pStyle w:val="af5"/>
        <w:spacing w:before="120"/>
        <w:rPr>
          <w:rFonts w:ascii="宋体" w:eastAsia="宋体" w:hAnsi="Times New Roman"/>
          <w:color w:val="000000"/>
        </w:rPr>
      </w:pPr>
      <w:r w:rsidRPr="00250B9B">
        <w:rPr>
          <w:rFonts w:ascii="宋体" w:eastAsia="宋体" w:hAnsi="Times New Roman" w:hint="eastAsia"/>
          <w:color w:val="000000"/>
        </w:rPr>
        <w:t>经营者集中申报项目包括代表</w:t>
      </w:r>
    </w:p>
    <w:p w14:paraId="1B6F9EC8" w14:textId="77777777" w:rsidR="00250B9B" w:rsidRDefault="00250B9B" w:rsidP="00250B9B">
      <w:pPr>
        <w:pStyle w:val="af5"/>
        <w:numPr>
          <w:ilvl w:val="0"/>
          <w:numId w:val="24"/>
        </w:numPr>
        <w:spacing w:before="120"/>
        <w:ind w:left="690" w:hanging="240"/>
        <w:rPr>
          <w:rFonts w:ascii="宋体" w:eastAsia="宋体" w:hAnsi="Times New Roman"/>
          <w:color w:val="000000"/>
        </w:rPr>
      </w:pPr>
      <w:r w:rsidRPr="00250B9B">
        <w:rPr>
          <w:rFonts w:ascii="宋体" w:eastAsia="宋体" w:hAnsi="Times New Roman" w:hint="eastAsia"/>
          <w:color w:val="000000"/>
        </w:rPr>
        <w:t>卡哥特科集团，就其以</w:t>
      </w:r>
      <w:r w:rsidRPr="00250B9B">
        <w:rPr>
          <w:rFonts w:ascii="宋体" w:eastAsia="宋体" w:hAnsi="Times New Roman"/>
          <w:color w:val="000000"/>
        </w:rPr>
        <w:t>8,700万欧元收购德瑞斯集团船舶设备业务的并购交易进行中国经营者集中申报。该交易是近年来船舶设备行业最大的交易；</w:t>
      </w:r>
    </w:p>
    <w:p w14:paraId="592EB888" w14:textId="77777777" w:rsidR="00250B9B" w:rsidRDefault="00250B9B" w:rsidP="00250B9B">
      <w:pPr>
        <w:pStyle w:val="af5"/>
        <w:numPr>
          <w:ilvl w:val="0"/>
          <w:numId w:val="25"/>
        </w:numPr>
        <w:spacing w:before="120"/>
        <w:ind w:left="690" w:hanging="240"/>
        <w:rPr>
          <w:rFonts w:ascii="宋体" w:eastAsia="宋体" w:hAnsi="Times New Roman"/>
          <w:color w:val="000000"/>
        </w:rPr>
      </w:pPr>
      <w:r w:rsidRPr="00250B9B">
        <w:rPr>
          <w:rFonts w:ascii="宋体" w:eastAsia="宋体" w:hAnsi="Times New Roman" w:hint="eastAsia"/>
          <w:color w:val="000000"/>
        </w:rPr>
        <w:t>苏伊士公司，就其收购通用电气公司水处理及工艺过程处理业务的交易进行中国经营者集中申报；</w:t>
      </w:r>
    </w:p>
    <w:p w14:paraId="6627DDC2" w14:textId="77777777" w:rsidR="00250B9B" w:rsidRDefault="00250B9B" w:rsidP="00250B9B">
      <w:pPr>
        <w:pStyle w:val="af5"/>
        <w:numPr>
          <w:ilvl w:val="0"/>
          <w:numId w:val="26"/>
        </w:numPr>
        <w:spacing w:before="120"/>
        <w:ind w:left="690" w:hanging="240"/>
        <w:rPr>
          <w:rFonts w:ascii="宋体" w:eastAsia="宋体" w:hAnsi="Times New Roman"/>
          <w:color w:val="000000"/>
        </w:rPr>
      </w:pPr>
      <w:r w:rsidRPr="00250B9B">
        <w:rPr>
          <w:rFonts w:ascii="宋体" w:eastAsia="宋体" w:hAnsi="Times New Roman" w:hint="eastAsia"/>
          <w:color w:val="000000"/>
        </w:rPr>
        <w:t>一家国内领先的互联网企业，就其一系列交易是否达到经营者集中申报标准及交易对市场竞争的影响提供法律意见；</w:t>
      </w:r>
    </w:p>
    <w:p w14:paraId="572F8D45" w14:textId="77777777" w:rsidR="00250B9B" w:rsidRDefault="00250B9B" w:rsidP="00250B9B">
      <w:pPr>
        <w:pStyle w:val="af5"/>
        <w:numPr>
          <w:ilvl w:val="0"/>
          <w:numId w:val="27"/>
        </w:numPr>
        <w:spacing w:before="120"/>
        <w:ind w:left="690" w:hanging="240"/>
        <w:rPr>
          <w:rFonts w:ascii="宋体" w:eastAsia="宋体" w:hAnsi="Times New Roman"/>
          <w:color w:val="000000"/>
        </w:rPr>
      </w:pPr>
      <w:r w:rsidRPr="00250B9B">
        <w:rPr>
          <w:rFonts w:ascii="宋体" w:eastAsia="宋体" w:hAnsi="Times New Roman" w:hint="eastAsia"/>
          <w:color w:val="000000"/>
        </w:rPr>
        <w:t>同时代表两方，就两家领先的私募基金公司投资一家智能家居公司的交易准备经营者集中申报材料；</w:t>
      </w:r>
    </w:p>
    <w:p w14:paraId="49B01FBF" w14:textId="77777777" w:rsidR="00250B9B" w:rsidRDefault="00250B9B" w:rsidP="00250B9B">
      <w:pPr>
        <w:pStyle w:val="af5"/>
        <w:numPr>
          <w:ilvl w:val="0"/>
          <w:numId w:val="28"/>
        </w:numPr>
        <w:spacing w:before="120"/>
        <w:ind w:left="690" w:hanging="240"/>
        <w:rPr>
          <w:rFonts w:ascii="宋体" w:eastAsia="宋体" w:hAnsi="Times New Roman"/>
          <w:color w:val="000000"/>
        </w:rPr>
      </w:pPr>
      <w:r w:rsidRPr="00250B9B">
        <w:rPr>
          <w:rFonts w:ascii="宋体" w:eastAsia="宋体" w:hAnsi="Times New Roman" w:hint="eastAsia"/>
          <w:color w:val="000000"/>
        </w:rPr>
        <w:t>弗蒙基金，就其收购一家在欧洲领先的工业包装方案公司的交易进行经营者集中申报；</w:t>
      </w:r>
    </w:p>
    <w:p w14:paraId="76CFA33D" w14:textId="77777777" w:rsidR="00250B9B" w:rsidRDefault="00250B9B" w:rsidP="00250B9B">
      <w:pPr>
        <w:pStyle w:val="af5"/>
        <w:numPr>
          <w:ilvl w:val="0"/>
          <w:numId w:val="29"/>
        </w:numPr>
        <w:spacing w:before="120"/>
        <w:ind w:left="690" w:hanging="240"/>
        <w:rPr>
          <w:rFonts w:ascii="宋体" w:eastAsia="宋体" w:hAnsi="Times New Roman"/>
          <w:color w:val="000000"/>
        </w:rPr>
      </w:pPr>
      <w:r w:rsidRPr="00250B9B">
        <w:rPr>
          <w:rFonts w:ascii="宋体" w:eastAsia="宋体" w:hAnsi="Times New Roman" w:hint="eastAsia"/>
          <w:color w:val="000000"/>
        </w:rPr>
        <w:t>多家日本企业集团，就其交易是否达到经营者集中申报标准提供法律意见；及</w:t>
      </w:r>
    </w:p>
    <w:p w14:paraId="2F1423BD" w14:textId="77777777" w:rsidR="00250B9B" w:rsidRDefault="00250B9B" w:rsidP="00250B9B">
      <w:pPr>
        <w:pStyle w:val="af5"/>
        <w:numPr>
          <w:ilvl w:val="0"/>
          <w:numId w:val="30"/>
        </w:numPr>
        <w:spacing w:before="120"/>
        <w:ind w:left="690" w:hanging="240"/>
        <w:rPr>
          <w:rFonts w:ascii="宋体" w:eastAsia="宋体" w:hAnsi="Times New Roman"/>
          <w:color w:val="000000"/>
        </w:rPr>
      </w:pPr>
      <w:r w:rsidRPr="00250B9B">
        <w:rPr>
          <w:rFonts w:ascii="宋体" w:eastAsia="宋体" w:hAnsi="Times New Roman" w:hint="eastAsia"/>
          <w:color w:val="000000"/>
        </w:rPr>
        <w:t>多家领先的全球及国内基金公司，就其交易是否达到经营者集中申报标准提供法律意见。</w:t>
      </w:r>
    </w:p>
    <w:p w14:paraId="24FDA0C7" w14:textId="77777777" w:rsidR="00250B9B" w:rsidRDefault="00250B9B" w:rsidP="00250B9B">
      <w:pPr>
        <w:pStyle w:val="af5"/>
        <w:spacing w:after="0" w:line="480" w:lineRule="auto"/>
        <w:rPr>
          <w:rFonts w:ascii="宋体" w:eastAsia="宋体" w:hAnsi="宋体"/>
          <w:b/>
          <w:sz w:val="24"/>
        </w:rPr>
      </w:pPr>
      <w:r w:rsidRPr="00250B9B">
        <w:rPr>
          <w:rFonts w:ascii="宋体" w:eastAsia="宋体" w:hAnsi="宋体" w:hint="eastAsia"/>
          <w:b/>
          <w:sz w:val="24"/>
        </w:rPr>
        <w:t>教育背景</w:t>
      </w:r>
    </w:p>
    <w:p w14:paraId="5ED69ADD" w14:textId="77777777" w:rsidR="00250B9B" w:rsidRDefault="00250B9B" w:rsidP="00250B9B">
      <w:pPr>
        <w:pStyle w:val="af5"/>
        <w:numPr>
          <w:ilvl w:val="0"/>
          <w:numId w:val="31"/>
        </w:numPr>
        <w:spacing w:before="120"/>
        <w:ind w:left="690" w:hanging="240"/>
        <w:rPr>
          <w:rFonts w:ascii="宋体" w:eastAsia="宋体" w:hAnsi="Times New Roman"/>
          <w:color w:val="000000"/>
        </w:rPr>
      </w:pPr>
      <w:r w:rsidRPr="00250B9B">
        <w:rPr>
          <w:rFonts w:ascii="宋体" w:eastAsia="宋体" w:hAnsi="Times New Roman" w:hint="eastAsia"/>
          <w:color w:val="000000"/>
        </w:rPr>
        <w:t>华东政法大学经济法学院，法学学士及法学硕士</w:t>
      </w:r>
    </w:p>
    <w:p w14:paraId="37984A71" w14:textId="77777777" w:rsidR="00250B9B" w:rsidRDefault="00250B9B" w:rsidP="00250B9B">
      <w:pPr>
        <w:pStyle w:val="af5"/>
        <w:spacing w:after="0" w:line="480" w:lineRule="auto"/>
        <w:rPr>
          <w:rFonts w:ascii="宋体" w:eastAsia="宋体" w:hAnsi="宋体"/>
          <w:b/>
          <w:sz w:val="24"/>
        </w:rPr>
      </w:pPr>
      <w:r w:rsidRPr="00250B9B">
        <w:rPr>
          <w:rFonts w:ascii="宋体" w:eastAsia="宋体" w:hAnsi="宋体" w:hint="eastAsia"/>
          <w:b/>
          <w:sz w:val="24"/>
        </w:rPr>
        <w:t>执业资格</w:t>
      </w:r>
    </w:p>
    <w:p w14:paraId="08EDB141" w14:textId="77777777" w:rsidR="00250B9B" w:rsidRDefault="00250B9B" w:rsidP="00250B9B">
      <w:pPr>
        <w:pStyle w:val="af5"/>
        <w:numPr>
          <w:ilvl w:val="0"/>
          <w:numId w:val="32"/>
        </w:numPr>
        <w:spacing w:before="120"/>
        <w:ind w:left="690" w:hanging="240"/>
        <w:rPr>
          <w:rFonts w:ascii="宋体" w:eastAsia="宋体" w:hAnsi="Times New Roman"/>
          <w:color w:val="000000"/>
        </w:rPr>
      </w:pPr>
      <w:r w:rsidRPr="00250B9B">
        <w:rPr>
          <w:rFonts w:ascii="宋体" w:eastAsia="宋体" w:hAnsi="Times New Roman" w:hint="eastAsia"/>
          <w:color w:val="000000"/>
        </w:rPr>
        <w:t>中华人民共和国执业律师</w:t>
      </w:r>
    </w:p>
    <w:p w14:paraId="62169BA8" w14:textId="77777777" w:rsidR="00250B9B" w:rsidRDefault="00250B9B" w:rsidP="00250B9B">
      <w:pPr>
        <w:pStyle w:val="af5"/>
        <w:spacing w:after="0" w:line="480" w:lineRule="auto"/>
        <w:rPr>
          <w:rFonts w:ascii="宋体" w:eastAsia="宋体" w:hAnsi="宋体"/>
          <w:b/>
          <w:sz w:val="24"/>
        </w:rPr>
      </w:pPr>
      <w:r w:rsidRPr="00250B9B">
        <w:rPr>
          <w:rFonts w:ascii="宋体" w:eastAsia="宋体" w:hAnsi="宋体" w:hint="eastAsia"/>
          <w:b/>
          <w:sz w:val="24"/>
        </w:rPr>
        <w:t>工作语言</w:t>
      </w:r>
    </w:p>
    <w:p w14:paraId="0097DF31" w14:textId="77777777" w:rsidR="00250B9B" w:rsidRDefault="00250B9B" w:rsidP="00250B9B">
      <w:pPr>
        <w:pStyle w:val="af5"/>
        <w:numPr>
          <w:ilvl w:val="0"/>
          <w:numId w:val="33"/>
        </w:numPr>
        <w:spacing w:before="120"/>
        <w:ind w:left="690" w:hanging="240"/>
        <w:rPr>
          <w:rFonts w:ascii="宋体" w:eastAsia="宋体" w:hAnsi="Times New Roman"/>
          <w:color w:val="000000"/>
        </w:rPr>
      </w:pPr>
      <w:r w:rsidRPr="00250B9B">
        <w:rPr>
          <w:rFonts w:ascii="宋体" w:eastAsia="宋体" w:hAnsi="Times New Roman" w:hint="eastAsia"/>
          <w:color w:val="000000"/>
        </w:rPr>
        <w:t>中文</w:t>
      </w:r>
    </w:p>
    <w:p w14:paraId="4386EDF7" w14:textId="77777777" w:rsidR="00250B9B" w:rsidRDefault="00250B9B" w:rsidP="00250B9B">
      <w:pPr>
        <w:pStyle w:val="af5"/>
        <w:numPr>
          <w:ilvl w:val="0"/>
          <w:numId w:val="34"/>
        </w:numPr>
        <w:spacing w:before="120"/>
        <w:ind w:left="690" w:hanging="240"/>
        <w:rPr>
          <w:rFonts w:ascii="宋体" w:eastAsia="宋体" w:hAnsi="Times New Roman"/>
          <w:color w:val="000000"/>
        </w:rPr>
      </w:pPr>
      <w:r w:rsidRPr="00250B9B">
        <w:rPr>
          <w:rFonts w:ascii="宋体" w:eastAsia="宋体" w:hAnsi="Times New Roman" w:hint="eastAsia"/>
          <w:color w:val="000000"/>
        </w:rPr>
        <w:t>英语</w:t>
      </w:r>
    </w:p>
    <w:p w14:paraId="33C398C3" w14:textId="77777777" w:rsidR="00250B9B" w:rsidRDefault="00250B9B" w:rsidP="00250B9B">
      <w:pPr>
        <w:pStyle w:val="af5"/>
        <w:spacing w:after="0" w:line="480" w:lineRule="auto"/>
        <w:rPr>
          <w:rFonts w:ascii="宋体" w:eastAsia="宋体" w:hAnsi="宋体"/>
          <w:b/>
          <w:sz w:val="24"/>
        </w:rPr>
      </w:pPr>
      <w:r w:rsidRPr="00250B9B">
        <w:rPr>
          <w:rFonts w:ascii="宋体" w:eastAsia="宋体" w:hAnsi="宋体" w:hint="eastAsia"/>
          <w:b/>
          <w:sz w:val="24"/>
        </w:rPr>
        <w:t>职业背景</w:t>
      </w:r>
    </w:p>
    <w:p w14:paraId="4F0A196B" w14:textId="27F1F468" w:rsidR="00A46A04" w:rsidRPr="00250B9B" w:rsidRDefault="00250B9B" w:rsidP="00250B9B">
      <w:pPr>
        <w:pStyle w:val="af5"/>
        <w:numPr>
          <w:ilvl w:val="0"/>
          <w:numId w:val="35"/>
        </w:numPr>
        <w:spacing w:before="120"/>
        <w:ind w:left="690" w:hanging="240"/>
        <w:rPr>
          <w:rFonts w:ascii="宋体" w:eastAsia="宋体" w:hAnsi="Times New Roman"/>
          <w:color w:val="000000"/>
        </w:rPr>
      </w:pPr>
      <w:r w:rsidRPr="00250B9B">
        <w:rPr>
          <w:rFonts w:ascii="宋体" w:eastAsia="宋体" w:hAnsi="Times New Roman" w:hint="eastAsia"/>
          <w:color w:val="000000"/>
        </w:rPr>
        <w:t>干潇露律师于</w:t>
      </w:r>
      <w:r w:rsidRPr="00250B9B">
        <w:rPr>
          <w:rFonts w:ascii="宋体" w:eastAsia="宋体" w:hAnsi="Times New Roman"/>
          <w:color w:val="000000"/>
        </w:rPr>
        <w:t>2017年加入方达律师事务所上海办公室，此前曾在一家大型内资律师事务所从事反垄断与竞争法业务达4年。</w:t>
      </w:r>
    </w:p>
    <w:sectPr w:rsidR="00A46A04" w:rsidRPr="00250B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7008E"/>
    <w:multiLevelType w:val="singleLevel"/>
    <w:tmpl w:val="7B2851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F145A"/>
    <w:multiLevelType w:val="singleLevel"/>
    <w:tmpl w:val="81340C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11153"/>
    <w:multiLevelType w:val="singleLevel"/>
    <w:tmpl w:val="424013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704524"/>
    <w:multiLevelType w:val="singleLevel"/>
    <w:tmpl w:val="485E9D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E277FC"/>
    <w:multiLevelType w:val="singleLevel"/>
    <w:tmpl w:val="3C387D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4F55E0"/>
    <w:multiLevelType w:val="singleLevel"/>
    <w:tmpl w:val="4C3C2D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934B93"/>
    <w:multiLevelType w:val="singleLevel"/>
    <w:tmpl w:val="B008AE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9E7E24"/>
    <w:multiLevelType w:val="singleLevel"/>
    <w:tmpl w:val="228A79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4768D1"/>
    <w:multiLevelType w:val="singleLevel"/>
    <w:tmpl w:val="FFB443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5F57A4"/>
    <w:multiLevelType w:val="singleLevel"/>
    <w:tmpl w:val="64069D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FC4774"/>
    <w:multiLevelType w:val="singleLevel"/>
    <w:tmpl w:val="5268C7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D3446C"/>
    <w:multiLevelType w:val="singleLevel"/>
    <w:tmpl w:val="53D472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DE6585"/>
    <w:multiLevelType w:val="singleLevel"/>
    <w:tmpl w:val="E9E46D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F83841"/>
    <w:multiLevelType w:val="singleLevel"/>
    <w:tmpl w:val="CCFA12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B26B19"/>
    <w:multiLevelType w:val="singleLevel"/>
    <w:tmpl w:val="81E6D5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B710C5"/>
    <w:multiLevelType w:val="singleLevel"/>
    <w:tmpl w:val="F612BB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364E17"/>
    <w:multiLevelType w:val="singleLevel"/>
    <w:tmpl w:val="10726B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2BE4184"/>
    <w:multiLevelType w:val="singleLevel"/>
    <w:tmpl w:val="4C4EC4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875A62"/>
    <w:multiLevelType w:val="singleLevel"/>
    <w:tmpl w:val="FCE45E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CD5FF3"/>
    <w:multiLevelType w:val="singleLevel"/>
    <w:tmpl w:val="999A1F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982860"/>
    <w:multiLevelType w:val="singleLevel"/>
    <w:tmpl w:val="4C1C27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0934E1"/>
    <w:multiLevelType w:val="singleLevel"/>
    <w:tmpl w:val="10726B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CA520E"/>
    <w:multiLevelType w:val="singleLevel"/>
    <w:tmpl w:val="56BA84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00485F"/>
    <w:multiLevelType w:val="singleLevel"/>
    <w:tmpl w:val="B088F7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D32C6D"/>
    <w:multiLevelType w:val="singleLevel"/>
    <w:tmpl w:val="E96EE1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8BC3461"/>
    <w:multiLevelType w:val="singleLevel"/>
    <w:tmpl w:val="FE8249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A41111"/>
    <w:multiLevelType w:val="singleLevel"/>
    <w:tmpl w:val="D4F8C7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0A2C48"/>
    <w:multiLevelType w:val="singleLevel"/>
    <w:tmpl w:val="9214795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0C650C"/>
    <w:multiLevelType w:val="singleLevel"/>
    <w:tmpl w:val="B066BA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F66D77"/>
    <w:multiLevelType w:val="singleLevel"/>
    <w:tmpl w:val="628AC8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671ED9"/>
    <w:multiLevelType w:val="singleLevel"/>
    <w:tmpl w:val="B89E30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F60599"/>
    <w:multiLevelType w:val="singleLevel"/>
    <w:tmpl w:val="C9729A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A05189"/>
    <w:multiLevelType w:val="singleLevel"/>
    <w:tmpl w:val="B83A153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26"/>
  </w:num>
  <w:num w:numId="4">
    <w:abstractNumId w:val="22"/>
  </w:num>
  <w:num w:numId="5">
    <w:abstractNumId w:val="25"/>
  </w:num>
  <w:num w:numId="6">
    <w:abstractNumId w:val="34"/>
  </w:num>
  <w:num w:numId="7">
    <w:abstractNumId w:val="21"/>
  </w:num>
  <w:num w:numId="8">
    <w:abstractNumId w:val="15"/>
  </w:num>
  <w:num w:numId="9">
    <w:abstractNumId w:val="7"/>
  </w:num>
  <w:num w:numId="10">
    <w:abstractNumId w:val="1"/>
  </w:num>
  <w:num w:numId="11">
    <w:abstractNumId w:val="10"/>
  </w:num>
  <w:num w:numId="12">
    <w:abstractNumId w:val="8"/>
  </w:num>
  <w:num w:numId="13">
    <w:abstractNumId w:val="27"/>
  </w:num>
  <w:num w:numId="14">
    <w:abstractNumId w:val="14"/>
  </w:num>
  <w:num w:numId="15">
    <w:abstractNumId w:val="32"/>
  </w:num>
  <w:num w:numId="16">
    <w:abstractNumId w:val="20"/>
  </w:num>
  <w:num w:numId="17">
    <w:abstractNumId w:val="31"/>
  </w:num>
  <w:num w:numId="18">
    <w:abstractNumId w:val="4"/>
  </w:num>
  <w:num w:numId="19">
    <w:abstractNumId w:val="2"/>
  </w:num>
  <w:num w:numId="20">
    <w:abstractNumId w:val="30"/>
  </w:num>
  <w:num w:numId="21">
    <w:abstractNumId w:val="29"/>
  </w:num>
  <w:num w:numId="22">
    <w:abstractNumId w:val="6"/>
  </w:num>
  <w:num w:numId="23">
    <w:abstractNumId w:val="11"/>
  </w:num>
  <w:num w:numId="24">
    <w:abstractNumId w:val="3"/>
  </w:num>
  <w:num w:numId="25">
    <w:abstractNumId w:val="9"/>
  </w:num>
  <w:num w:numId="26">
    <w:abstractNumId w:val="0"/>
  </w:num>
  <w:num w:numId="27">
    <w:abstractNumId w:val="19"/>
  </w:num>
  <w:num w:numId="28">
    <w:abstractNumId w:val="5"/>
  </w:num>
  <w:num w:numId="29">
    <w:abstractNumId w:val="28"/>
  </w:num>
  <w:num w:numId="30">
    <w:abstractNumId w:val="13"/>
  </w:num>
  <w:num w:numId="31">
    <w:abstractNumId w:val="24"/>
  </w:num>
  <w:num w:numId="32">
    <w:abstractNumId w:val="16"/>
  </w:num>
  <w:num w:numId="33">
    <w:abstractNumId w:val="33"/>
  </w:num>
  <w:num w:numId="34">
    <w:abstractNumId w:val="17"/>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0B9B"/>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0B9B"/>
    <w:pPr>
      <w:spacing w:after="120"/>
    </w:pPr>
  </w:style>
  <w:style w:type="character" w:customStyle="1" w:styleId="af6">
    <w:name w:val="正文文本 字符"/>
    <w:basedOn w:val="a0"/>
    <w:link w:val="af5"/>
    <w:uiPriority w:val="99"/>
    <w:rsid w:val="00250B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85A6C-870B-45C3-B069-429F0718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