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4376DE" w:rsidR="0049405C" w:rsidRPr="00187BAA" w:rsidRDefault="002824C0" w:rsidP="002824C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824C0">
              <w:rPr>
                <w:rFonts w:ascii="宋体" w:eastAsia="宋体" w:hAnsi="Times New Roman" w:hint="eastAsia"/>
                <w:b/>
                <w:color w:val="000000"/>
                <w:sz w:val="48"/>
              </w:rPr>
              <w:t>李润</w:t>
            </w:r>
            <w:bookmarkEnd w:id="0"/>
          </w:p>
          <w:p w14:paraId="706EB16B" w14:textId="5733E243" w:rsidR="0049405C" w:rsidRPr="00187BAA" w:rsidRDefault="002824C0" w:rsidP="002824C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824C0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C7C0658" w:rsidR="0049405C" w:rsidRPr="00187BAA" w:rsidRDefault="002824C0" w:rsidP="002824C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824C0">
              <w:rPr>
                <w:rFonts w:ascii="宋体" w:eastAsia="宋体" w:hAnsi="Times New Roman"/>
                <w:color w:val="000000"/>
              </w:rPr>
              <w:t xml:space="preserve">+86 21 2208 1165 </w:t>
            </w:r>
            <w:bookmarkEnd w:id="3"/>
          </w:p>
          <w:p w14:paraId="4F910ACA" w14:textId="3D0C4E49" w:rsidR="0049405C" w:rsidRPr="00187BAA" w:rsidRDefault="002824C0" w:rsidP="002824C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824C0">
              <w:rPr>
                <w:rFonts w:ascii="宋体" w:eastAsia="宋体" w:hAnsi="Times New Roman"/>
                <w:color w:val="000000"/>
              </w:rPr>
              <w:t>ryan.li@fangdalaw.com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55715E" w:rsidR="0049405C" w:rsidRPr="00187BAA" w:rsidRDefault="002824C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2EADA98" wp14:editId="36309D6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C242B27" w:rsidR="009465FB" w:rsidRPr="00187BAA" w:rsidRDefault="002824C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824C0">
              <w:rPr>
                <w:rFonts w:ascii="宋体" w:eastAsia="宋体" w:hAnsi="Times New Roman" w:hint="eastAsia"/>
                <w:color w:val="000000"/>
                <w:szCs w:val="21"/>
              </w:rPr>
              <w:t>李润律师的主要执业领域为投融资、并购、外商投资、资本市场和公司一般法律事务。李律师在医药、健康、互联网和科技领域具有丰富的经验积累。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CC3127D" w14:textId="77777777" w:rsidR="002824C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85D1310" w14:textId="77777777" w:rsidR="002824C0" w:rsidRDefault="002824C0" w:rsidP="002824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824C0">
        <w:rPr>
          <w:rFonts w:ascii="宋体" w:eastAsia="宋体" w:hAnsi="宋体" w:hint="eastAsia"/>
          <w:b/>
          <w:sz w:val="24"/>
        </w:rPr>
        <w:t>近期代理的主要案件</w:t>
      </w:r>
    </w:p>
    <w:p w14:paraId="011C61D9" w14:textId="77777777" w:rsidR="002824C0" w:rsidRDefault="002824C0" w:rsidP="002824C0">
      <w:pPr>
        <w:pStyle w:val="af5"/>
        <w:spacing w:before="12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医药健康行业的案例</w:t>
      </w:r>
    </w:p>
    <w:p w14:paraId="20FF38B5" w14:textId="77777777" w:rsidR="002824C0" w:rsidRDefault="002824C0" w:rsidP="002824C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代表拾玉资本领投乐普生物；</w:t>
      </w:r>
    </w:p>
    <w:p w14:paraId="5BC3133D" w14:textId="77777777" w:rsidR="002824C0" w:rsidRDefault="002824C0" w:rsidP="002824C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代表浙民投等基金共同杭州天境生物；</w:t>
      </w:r>
    </w:p>
    <w:p w14:paraId="74383AAE" w14:textId="77777777" w:rsidR="002824C0" w:rsidRDefault="002824C0" w:rsidP="002824C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为博雅辑因的</w:t>
      </w:r>
      <w:r w:rsidRPr="002824C0">
        <w:rPr>
          <w:rFonts w:ascii="宋体" w:eastAsia="宋体" w:hAnsi="Times New Roman"/>
          <w:color w:val="000000"/>
        </w:rPr>
        <w:t>B轮和B+轮融资提供法律服务；</w:t>
      </w:r>
    </w:p>
    <w:p w14:paraId="18B91B92" w14:textId="77777777" w:rsidR="002824C0" w:rsidRDefault="002824C0" w:rsidP="002824C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代表博远资本领投凯莱谱；</w:t>
      </w:r>
    </w:p>
    <w:p w14:paraId="2F428E0A" w14:textId="77777777" w:rsidR="002824C0" w:rsidRDefault="002824C0" w:rsidP="002824C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代表中金资本投资阿康健康、珠海圣美等；</w:t>
      </w:r>
    </w:p>
    <w:p w14:paraId="3180D7C4" w14:textId="77777777" w:rsidR="002824C0" w:rsidRDefault="002824C0" w:rsidP="002824C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代表济峰资本领投臻格生物、江苏瑞科；</w:t>
      </w:r>
    </w:p>
    <w:p w14:paraId="5F2B04B7" w14:textId="77777777" w:rsidR="002824C0" w:rsidRDefault="002824C0" w:rsidP="002824C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代表辰德资本领投辉大生物、术锐手术机器人、济南英盛等企业；</w:t>
      </w:r>
    </w:p>
    <w:p w14:paraId="5DDFF3C7" w14:textId="77777777" w:rsidR="002824C0" w:rsidRDefault="002824C0" w:rsidP="002824C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代表弘晖资本领投一然生物等企业；</w:t>
      </w:r>
    </w:p>
    <w:p w14:paraId="5621720A" w14:textId="77777777" w:rsidR="002824C0" w:rsidRDefault="002824C0" w:rsidP="002824C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代表珀金埃尔默投资海苗生物；</w:t>
      </w:r>
    </w:p>
    <w:p w14:paraId="64BC465E" w14:textId="77777777" w:rsidR="002824C0" w:rsidRDefault="002824C0" w:rsidP="002824C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代表药明基金领投辉大生物；</w:t>
      </w:r>
    </w:p>
    <w:p w14:paraId="76BFEC52" w14:textId="77777777" w:rsidR="002824C0" w:rsidRDefault="002824C0" w:rsidP="002824C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为浦易生物的</w:t>
      </w:r>
      <w:r w:rsidRPr="002824C0">
        <w:rPr>
          <w:rFonts w:ascii="宋体" w:eastAsia="宋体" w:hAnsi="Times New Roman"/>
          <w:color w:val="000000"/>
        </w:rPr>
        <w:t>B轮融资提供法律服务；</w:t>
      </w:r>
    </w:p>
    <w:p w14:paraId="6B8A1D1F" w14:textId="77777777" w:rsidR="002824C0" w:rsidRDefault="002824C0" w:rsidP="002824C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为微创神通的融资提供法律服务；</w:t>
      </w:r>
    </w:p>
    <w:p w14:paraId="205CD4E5" w14:textId="77777777" w:rsidR="002824C0" w:rsidRDefault="002824C0" w:rsidP="002824C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为诺诚健华的投融资提供法律服务；</w:t>
      </w:r>
    </w:p>
    <w:p w14:paraId="1930E08B" w14:textId="77777777" w:rsidR="002824C0" w:rsidRDefault="002824C0" w:rsidP="002824C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代表凯辉基金、德弘资本、金镒资本、康桥资本、厚新健投、博裕资本、光控医疗、国药资本投资医药健康领域的企业。</w:t>
      </w:r>
    </w:p>
    <w:p w14:paraId="7135981E" w14:textId="77777777" w:rsidR="002824C0" w:rsidRDefault="002824C0" w:rsidP="002824C0">
      <w:pPr>
        <w:pStyle w:val="af5"/>
        <w:spacing w:before="12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互联网和科技行业的案例</w:t>
      </w:r>
    </w:p>
    <w:p w14:paraId="5F6DA776" w14:textId="77777777" w:rsidR="002824C0" w:rsidRDefault="002824C0" w:rsidP="002824C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为阿里巴巴收购优酷土豆、缔元信、魅力惠，投资百胜软件</w:t>
      </w:r>
      <w:r w:rsidRPr="002824C0">
        <w:rPr>
          <w:rFonts w:ascii="宋体" w:eastAsia="宋体" w:hAnsi="Times New Roman"/>
          <w:color w:val="000000"/>
        </w:rPr>
        <w:t>(832722)等互联网企业，以及收购/战略投资一系列新零售提供法律服务；</w:t>
      </w:r>
    </w:p>
    <w:p w14:paraId="360AC5E3" w14:textId="77777777" w:rsidR="002824C0" w:rsidRDefault="002824C0" w:rsidP="002824C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为蚂蚁集团收购辰森世纪，投资美味不用等、思迅股份</w:t>
      </w:r>
      <w:r w:rsidRPr="002824C0">
        <w:rPr>
          <w:rFonts w:ascii="宋体" w:eastAsia="宋体" w:hAnsi="Times New Roman"/>
          <w:color w:val="000000"/>
        </w:rPr>
        <w:t>(838758)等提供法律服务；</w:t>
      </w:r>
    </w:p>
    <w:p w14:paraId="3E0C9C7F" w14:textId="77777777" w:rsidR="002824C0" w:rsidRDefault="002824C0" w:rsidP="002824C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为云锋基金投资玄机科技、中谷物流</w:t>
      </w:r>
      <w:r w:rsidRPr="002824C0">
        <w:rPr>
          <w:rFonts w:ascii="宋体" w:eastAsia="宋体" w:hAnsi="Times New Roman"/>
          <w:color w:val="000000"/>
        </w:rPr>
        <w:t>(603565.SH)、当虹科技(688039.SH)等提供法律服务；</w:t>
      </w:r>
    </w:p>
    <w:p w14:paraId="664F60E6" w14:textId="77777777" w:rsidR="002824C0" w:rsidRDefault="002824C0" w:rsidP="002824C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为春华资本投资思妍丽和则一供应链提供法律服务；</w:t>
      </w:r>
    </w:p>
    <w:p w14:paraId="42E1B07A" w14:textId="77777777" w:rsidR="002824C0" w:rsidRDefault="002824C0" w:rsidP="002824C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为美国超威</w:t>
      </w:r>
      <w:r w:rsidRPr="002824C0">
        <w:rPr>
          <w:rFonts w:ascii="宋体" w:eastAsia="宋体" w:hAnsi="Times New Roman"/>
          <w:color w:val="000000"/>
        </w:rPr>
        <w:t>(AMD)在中国境内的投资提供法律服务；</w:t>
      </w:r>
    </w:p>
    <w:p w14:paraId="345B774F" w14:textId="77777777" w:rsidR="002824C0" w:rsidRDefault="002824C0" w:rsidP="002824C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代表宝武集团取得重钢股份</w:t>
      </w:r>
      <w:r w:rsidRPr="002824C0">
        <w:rPr>
          <w:rFonts w:ascii="宋体" w:eastAsia="宋体" w:hAnsi="Times New Roman"/>
          <w:color w:val="000000"/>
        </w:rPr>
        <w:t>(601005.SH)控制权、收购重钢集团；</w:t>
      </w:r>
    </w:p>
    <w:p w14:paraId="191DB45D" w14:textId="77777777" w:rsidR="002824C0" w:rsidRDefault="002824C0" w:rsidP="002824C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为票易通和节律科技的融资提供法律服务；</w:t>
      </w:r>
    </w:p>
    <w:p w14:paraId="4A02DCC1" w14:textId="77777777" w:rsidR="002824C0" w:rsidRDefault="002824C0" w:rsidP="002824C0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代表平安基金投资北控水务</w:t>
      </w:r>
      <w:r w:rsidRPr="002824C0">
        <w:rPr>
          <w:rFonts w:ascii="宋体" w:eastAsia="宋体" w:hAnsi="Times New Roman"/>
          <w:color w:val="000000"/>
        </w:rPr>
        <w:t>(00371.HK)；</w:t>
      </w:r>
    </w:p>
    <w:p w14:paraId="0D1A5FD9" w14:textId="77777777" w:rsidR="002824C0" w:rsidRDefault="002824C0" w:rsidP="002824C0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为海立集团的合资项目提供法律服务；</w:t>
      </w:r>
    </w:p>
    <w:p w14:paraId="46367C5E" w14:textId="77777777" w:rsidR="002824C0" w:rsidRDefault="002824C0" w:rsidP="002824C0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为和汽、挚途提供常年法律服务；</w:t>
      </w:r>
    </w:p>
    <w:p w14:paraId="6C2BAFEE" w14:textId="77777777" w:rsidR="002824C0" w:rsidRDefault="002824C0" w:rsidP="002824C0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代表集成电路基金、阳光纸业</w:t>
      </w:r>
      <w:r w:rsidRPr="002824C0">
        <w:rPr>
          <w:rFonts w:ascii="宋体" w:eastAsia="宋体" w:hAnsi="Times New Roman"/>
          <w:color w:val="000000"/>
        </w:rPr>
        <w:t>(02002.HK)、美国华平、华大半导体、仲德资本、斯道资本、北高峰资本、江山投资、汇勤资本收购、投资科技类企业。</w:t>
      </w:r>
    </w:p>
    <w:p w14:paraId="4A5B2608" w14:textId="77777777" w:rsidR="002824C0" w:rsidRDefault="002824C0" w:rsidP="002824C0">
      <w:pPr>
        <w:pStyle w:val="af5"/>
        <w:spacing w:before="12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境外资本市场案例</w:t>
      </w:r>
    </w:p>
    <w:p w14:paraId="2ACBB8DE" w14:textId="77777777" w:rsidR="002824C0" w:rsidRDefault="002824C0" w:rsidP="002824C0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作为公司律师为一家手术器械公司的融资、重组和香港上市提供法律服务；</w:t>
      </w:r>
    </w:p>
    <w:p w14:paraId="1AC55C45" w14:textId="77777777" w:rsidR="002824C0" w:rsidRDefault="002824C0" w:rsidP="002824C0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作为公司律师为一家医疗器械公司的重组和香港上市提供法律服务；</w:t>
      </w:r>
    </w:p>
    <w:p w14:paraId="747856E2" w14:textId="77777777" w:rsidR="002824C0" w:rsidRDefault="002824C0" w:rsidP="002824C0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作为承销商律师为泛生子基因</w:t>
      </w:r>
      <w:r w:rsidRPr="002824C0">
        <w:rPr>
          <w:rFonts w:ascii="宋体" w:eastAsia="宋体" w:hAnsi="Times New Roman"/>
          <w:color w:val="000000"/>
        </w:rPr>
        <w:t>(GTH)在纳斯达克上市提供法律服务；</w:t>
      </w:r>
    </w:p>
    <w:p w14:paraId="7E653030" w14:textId="77777777" w:rsidR="002824C0" w:rsidRDefault="002824C0" w:rsidP="002824C0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为承销商律师为一家美股上市医药企业的再融资提供服务；</w:t>
      </w:r>
    </w:p>
    <w:p w14:paraId="0A804106" w14:textId="77777777" w:rsidR="002824C0" w:rsidRDefault="002824C0" w:rsidP="002824C0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作为承销商律师为声网</w:t>
      </w:r>
      <w:r w:rsidRPr="002824C0">
        <w:rPr>
          <w:rFonts w:ascii="宋体" w:eastAsia="宋体" w:hAnsi="Times New Roman"/>
          <w:color w:val="000000"/>
        </w:rPr>
        <w:t>(API)在纳斯达克上市提供法律服务；</w:t>
      </w:r>
    </w:p>
    <w:p w14:paraId="76C82709" w14:textId="77777777" w:rsidR="002824C0" w:rsidRDefault="002824C0" w:rsidP="002824C0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作为承销商律师为万国数据</w:t>
      </w:r>
      <w:r w:rsidRPr="002824C0">
        <w:rPr>
          <w:rFonts w:ascii="宋体" w:eastAsia="宋体" w:hAnsi="Times New Roman"/>
          <w:color w:val="000000"/>
        </w:rPr>
        <w:t>(GDS)在美股和港股上市及历次发股、发债提供法律服务；</w:t>
      </w:r>
    </w:p>
    <w:p w14:paraId="50EB3217" w14:textId="77777777" w:rsidR="002824C0" w:rsidRDefault="002824C0" w:rsidP="002824C0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作为公司律师为欢聚时代</w:t>
      </w:r>
      <w:r w:rsidRPr="002824C0">
        <w:rPr>
          <w:rFonts w:ascii="宋体" w:eastAsia="宋体" w:hAnsi="Times New Roman"/>
          <w:color w:val="000000"/>
        </w:rPr>
        <w:t>(YY)在美股再融资提供法律服务；</w:t>
      </w:r>
    </w:p>
    <w:p w14:paraId="2361CE47" w14:textId="77777777" w:rsidR="002824C0" w:rsidRDefault="002824C0" w:rsidP="002824C0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作为公司律师为灿谷管理</w:t>
      </w:r>
      <w:r w:rsidRPr="002824C0">
        <w:rPr>
          <w:rFonts w:ascii="宋体" w:eastAsia="宋体" w:hAnsi="Times New Roman"/>
          <w:color w:val="000000"/>
        </w:rPr>
        <w:t>(CANG)在美股上市提供法律服务；</w:t>
      </w:r>
    </w:p>
    <w:p w14:paraId="3FDA53DE" w14:textId="77777777" w:rsidR="002824C0" w:rsidRDefault="002824C0" w:rsidP="002824C0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作为承销商律师为太平洋保险</w:t>
      </w:r>
      <w:r w:rsidRPr="002824C0">
        <w:rPr>
          <w:rFonts w:ascii="宋体" w:eastAsia="宋体" w:hAnsi="Times New Roman"/>
          <w:color w:val="000000"/>
        </w:rPr>
        <w:t>(601601.SH)在伦交所发行全球存托凭证提供法律服务。</w:t>
      </w:r>
    </w:p>
    <w:p w14:paraId="01DB914C" w14:textId="77777777" w:rsidR="002824C0" w:rsidRDefault="002824C0" w:rsidP="002824C0">
      <w:pPr>
        <w:pStyle w:val="af5"/>
        <w:spacing w:before="12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重组领域的案件</w:t>
      </w:r>
    </w:p>
    <w:p w14:paraId="12587F06" w14:textId="77777777" w:rsidR="002824C0" w:rsidRDefault="002824C0" w:rsidP="002824C0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为菜鸟科技、阿里影业、雨润集团、三胞集团、启德教育、欧冶云商、安能集团、看见音乐、凯京科技、福汽集团</w:t>
      </w:r>
      <w:r w:rsidRPr="002824C0">
        <w:rPr>
          <w:rFonts w:ascii="宋体" w:eastAsia="宋体" w:hAnsi="Times New Roman"/>
          <w:color w:val="000000"/>
        </w:rPr>
        <w:t>(新龙马)、福建奔驰的重组提供法律服务。</w:t>
      </w:r>
    </w:p>
    <w:p w14:paraId="3FFE6350" w14:textId="77777777" w:rsidR="002824C0" w:rsidRDefault="002824C0" w:rsidP="002824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824C0">
        <w:rPr>
          <w:rFonts w:ascii="宋体" w:eastAsia="宋体" w:hAnsi="宋体" w:hint="eastAsia"/>
          <w:b/>
          <w:sz w:val="24"/>
        </w:rPr>
        <w:t>教育背景</w:t>
      </w:r>
    </w:p>
    <w:p w14:paraId="2214C281" w14:textId="77777777" w:rsidR="002824C0" w:rsidRDefault="002824C0" w:rsidP="002824C0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华东政法大学，法学学士</w:t>
      </w:r>
    </w:p>
    <w:p w14:paraId="5E5AA9BA" w14:textId="77777777" w:rsidR="002824C0" w:rsidRDefault="002824C0" w:rsidP="002824C0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华东政法大学，法学硕士</w:t>
      </w:r>
    </w:p>
    <w:p w14:paraId="184B644C" w14:textId="77777777" w:rsidR="002824C0" w:rsidRDefault="002824C0" w:rsidP="002824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824C0">
        <w:rPr>
          <w:rFonts w:ascii="宋体" w:eastAsia="宋体" w:hAnsi="宋体" w:hint="eastAsia"/>
          <w:b/>
          <w:sz w:val="24"/>
        </w:rPr>
        <w:t>执业资格</w:t>
      </w:r>
    </w:p>
    <w:p w14:paraId="764C9F17" w14:textId="77777777" w:rsidR="002824C0" w:rsidRDefault="002824C0" w:rsidP="002824C0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 w:hint="eastAsia"/>
          <w:color w:val="000000"/>
        </w:rPr>
        <w:t>中华人民共和国执业律师</w:t>
      </w:r>
    </w:p>
    <w:p w14:paraId="5C555797" w14:textId="77777777" w:rsidR="002824C0" w:rsidRDefault="002824C0" w:rsidP="002824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824C0">
        <w:rPr>
          <w:rFonts w:ascii="宋体" w:eastAsia="宋体" w:hAnsi="宋体" w:hint="eastAsia"/>
          <w:b/>
          <w:sz w:val="24"/>
        </w:rPr>
        <w:t>其他信息</w:t>
      </w:r>
    </w:p>
    <w:p w14:paraId="676F08D5" w14:textId="77777777" w:rsidR="002824C0" w:rsidRDefault="002824C0" w:rsidP="002824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824C0">
        <w:rPr>
          <w:rFonts w:ascii="宋体" w:eastAsia="宋体" w:hAnsi="宋体" w:hint="eastAsia"/>
          <w:b/>
          <w:sz w:val="24"/>
        </w:rPr>
        <w:t>出版物</w:t>
      </w:r>
    </w:p>
    <w:p w14:paraId="238AF57A" w14:textId="77777777" w:rsidR="002824C0" w:rsidRDefault="002824C0" w:rsidP="002824C0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/>
          <w:color w:val="000000"/>
        </w:rPr>
        <w:t xml:space="preserve">《契约理论下证券和解制度的正当性分析》载《证券法苑》 </w:t>
      </w:r>
    </w:p>
    <w:p w14:paraId="00CD9024" w14:textId="77777777" w:rsidR="002824C0" w:rsidRDefault="002824C0" w:rsidP="002824C0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/>
          <w:color w:val="000000"/>
        </w:rPr>
        <w:t xml:space="preserve">《民营银行自担风险的路径解决》载《法律与金融》 </w:t>
      </w:r>
    </w:p>
    <w:p w14:paraId="791E107D" w14:textId="77777777" w:rsidR="002824C0" w:rsidRDefault="002824C0" w:rsidP="002824C0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/>
          <w:color w:val="000000"/>
        </w:rPr>
        <w:t xml:space="preserve">《反思投资者保护逻辑下的新股发行制度改革》载《证券法苑》 </w:t>
      </w:r>
    </w:p>
    <w:p w14:paraId="4F0A196B" w14:textId="648A66C8" w:rsidR="00A46A04" w:rsidRPr="002824C0" w:rsidRDefault="002824C0" w:rsidP="002824C0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824C0">
        <w:rPr>
          <w:rFonts w:ascii="宋体" w:eastAsia="宋体" w:hAnsi="Times New Roman"/>
          <w:color w:val="000000"/>
        </w:rPr>
        <w:t xml:space="preserve">《我国私募股权投资基金备案登记制度评析》载《金融法苑》 </w:t>
      </w:r>
    </w:p>
    <w:sectPr w:rsidR="00A46A04" w:rsidRPr="002824C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0C2C"/>
    <w:multiLevelType w:val="singleLevel"/>
    <w:tmpl w:val="D28CE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151DBD"/>
    <w:multiLevelType w:val="singleLevel"/>
    <w:tmpl w:val="1108D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94045E"/>
    <w:multiLevelType w:val="singleLevel"/>
    <w:tmpl w:val="347CD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3224F68"/>
    <w:multiLevelType w:val="singleLevel"/>
    <w:tmpl w:val="83EEE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3C41F61"/>
    <w:multiLevelType w:val="singleLevel"/>
    <w:tmpl w:val="33268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5937FEB"/>
    <w:multiLevelType w:val="singleLevel"/>
    <w:tmpl w:val="656AE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5BC2156"/>
    <w:multiLevelType w:val="singleLevel"/>
    <w:tmpl w:val="C234F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7E51D87"/>
    <w:multiLevelType w:val="singleLevel"/>
    <w:tmpl w:val="A2F646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929145F"/>
    <w:multiLevelType w:val="singleLevel"/>
    <w:tmpl w:val="28B05B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DE00A2D"/>
    <w:multiLevelType w:val="singleLevel"/>
    <w:tmpl w:val="7690D7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0EA57C52"/>
    <w:multiLevelType w:val="singleLevel"/>
    <w:tmpl w:val="1AA0D9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8007B93"/>
    <w:multiLevelType w:val="singleLevel"/>
    <w:tmpl w:val="592A2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AD04BF9"/>
    <w:multiLevelType w:val="singleLevel"/>
    <w:tmpl w:val="67129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AD77273"/>
    <w:multiLevelType w:val="singleLevel"/>
    <w:tmpl w:val="592A2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BF83A42"/>
    <w:multiLevelType w:val="singleLevel"/>
    <w:tmpl w:val="F96649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F954604"/>
    <w:multiLevelType w:val="singleLevel"/>
    <w:tmpl w:val="2AC88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74A77AE"/>
    <w:multiLevelType w:val="singleLevel"/>
    <w:tmpl w:val="493837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7AB7B68"/>
    <w:multiLevelType w:val="singleLevel"/>
    <w:tmpl w:val="6AB64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C7D658D"/>
    <w:multiLevelType w:val="singleLevel"/>
    <w:tmpl w:val="7C2035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D124F08"/>
    <w:multiLevelType w:val="singleLevel"/>
    <w:tmpl w:val="554C9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ECF77BF"/>
    <w:multiLevelType w:val="singleLevel"/>
    <w:tmpl w:val="C5E0D9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ED133D7"/>
    <w:multiLevelType w:val="singleLevel"/>
    <w:tmpl w:val="3AC4C0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1FE1E66"/>
    <w:multiLevelType w:val="singleLevel"/>
    <w:tmpl w:val="674E7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2EB2D8C"/>
    <w:multiLevelType w:val="singleLevel"/>
    <w:tmpl w:val="DC1E0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3E3B1E9B"/>
    <w:multiLevelType w:val="singleLevel"/>
    <w:tmpl w:val="0A2C9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F777DD5"/>
    <w:multiLevelType w:val="singleLevel"/>
    <w:tmpl w:val="5986D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30973A3"/>
    <w:multiLevelType w:val="singleLevel"/>
    <w:tmpl w:val="1936B6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4C16B9E"/>
    <w:multiLevelType w:val="singleLevel"/>
    <w:tmpl w:val="4C8277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F9957DF"/>
    <w:multiLevelType w:val="singleLevel"/>
    <w:tmpl w:val="13B8B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15F6CC4"/>
    <w:multiLevelType w:val="singleLevel"/>
    <w:tmpl w:val="0E44A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71F1002"/>
    <w:multiLevelType w:val="singleLevel"/>
    <w:tmpl w:val="A66E3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B256690"/>
    <w:multiLevelType w:val="singleLevel"/>
    <w:tmpl w:val="BCBC29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0F71FFF"/>
    <w:multiLevelType w:val="singleLevel"/>
    <w:tmpl w:val="E36E7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1D74FFE"/>
    <w:multiLevelType w:val="singleLevel"/>
    <w:tmpl w:val="68944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58E4BD1"/>
    <w:multiLevelType w:val="singleLevel"/>
    <w:tmpl w:val="0532B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981583A"/>
    <w:multiLevelType w:val="singleLevel"/>
    <w:tmpl w:val="D9705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F130BF9"/>
    <w:multiLevelType w:val="singleLevel"/>
    <w:tmpl w:val="1CE4A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3CB006F"/>
    <w:multiLevelType w:val="singleLevel"/>
    <w:tmpl w:val="519E8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3CF2011"/>
    <w:multiLevelType w:val="singleLevel"/>
    <w:tmpl w:val="1DBE7A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6B01CB2"/>
    <w:multiLevelType w:val="singleLevel"/>
    <w:tmpl w:val="52A4C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B2C1A08"/>
    <w:multiLevelType w:val="singleLevel"/>
    <w:tmpl w:val="E0F6C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D753DD2"/>
    <w:multiLevelType w:val="singleLevel"/>
    <w:tmpl w:val="A1DE5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EDB5BFA"/>
    <w:multiLevelType w:val="singleLevel"/>
    <w:tmpl w:val="943A2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2"/>
  </w:num>
  <w:num w:numId="2">
    <w:abstractNumId w:val="25"/>
  </w:num>
  <w:num w:numId="3">
    <w:abstractNumId w:val="34"/>
  </w:num>
  <w:num w:numId="4">
    <w:abstractNumId w:val="36"/>
  </w:num>
  <w:num w:numId="5">
    <w:abstractNumId w:val="10"/>
  </w:num>
  <w:num w:numId="6">
    <w:abstractNumId w:val="44"/>
  </w:num>
  <w:num w:numId="7">
    <w:abstractNumId w:val="43"/>
  </w:num>
  <w:num w:numId="8">
    <w:abstractNumId w:val="18"/>
  </w:num>
  <w:num w:numId="9">
    <w:abstractNumId w:val="16"/>
  </w:num>
  <w:num w:numId="10">
    <w:abstractNumId w:val="0"/>
  </w:num>
  <w:num w:numId="11">
    <w:abstractNumId w:val="39"/>
  </w:num>
  <w:num w:numId="12">
    <w:abstractNumId w:val="42"/>
  </w:num>
  <w:num w:numId="13">
    <w:abstractNumId w:val="14"/>
  </w:num>
  <w:num w:numId="14">
    <w:abstractNumId w:val="12"/>
  </w:num>
  <w:num w:numId="15">
    <w:abstractNumId w:val="15"/>
  </w:num>
  <w:num w:numId="16">
    <w:abstractNumId w:val="8"/>
  </w:num>
  <w:num w:numId="17">
    <w:abstractNumId w:val="5"/>
  </w:num>
  <w:num w:numId="18">
    <w:abstractNumId w:val="24"/>
  </w:num>
  <w:num w:numId="19">
    <w:abstractNumId w:val="31"/>
  </w:num>
  <w:num w:numId="20">
    <w:abstractNumId w:val="4"/>
  </w:num>
  <w:num w:numId="21">
    <w:abstractNumId w:val="37"/>
  </w:num>
  <w:num w:numId="22">
    <w:abstractNumId w:val="27"/>
  </w:num>
  <w:num w:numId="23">
    <w:abstractNumId w:val="26"/>
  </w:num>
  <w:num w:numId="24">
    <w:abstractNumId w:val="21"/>
  </w:num>
  <w:num w:numId="25">
    <w:abstractNumId w:val="30"/>
  </w:num>
  <w:num w:numId="26">
    <w:abstractNumId w:val="32"/>
  </w:num>
  <w:num w:numId="27">
    <w:abstractNumId w:val="41"/>
  </w:num>
  <w:num w:numId="28">
    <w:abstractNumId w:val="28"/>
  </w:num>
  <w:num w:numId="29">
    <w:abstractNumId w:val="2"/>
  </w:num>
  <w:num w:numId="30">
    <w:abstractNumId w:val="35"/>
  </w:num>
  <w:num w:numId="31">
    <w:abstractNumId w:val="6"/>
  </w:num>
  <w:num w:numId="32">
    <w:abstractNumId w:val="19"/>
  </w:num>
  <w:num w:numId="33">
    <w:abstractNumId w:val="3"/>
  </w:num>
  <w:num w:numId="34">
    <w:abstractNumId w:val="17"/>
  </w:num>
  <w:num w:numId="35">
    <w:abstractNumId w:val="1"/>
  </w:num>
  <w:num w:numId="36">
    <w:abstractNumId w:val="20"/>
  </w:num>
  <w:num w:numId="37">
    <w:abstractNumId w:val="7"/>
  </w:num>
  <w:num w:numId="38">
    <w:abstractNumId w:val="40"/>
  </w:num>
  <w:num w:numId="39">
    <w:abstractNumId w:val="38"/>
  </w:num>
  <w:num w:numId="40">
    <w:abstractNumId w:val="33"/>
  </w:num>
  <w:num w:numId="41">
    <w:abstractNumId w:val="9"/>
  </w:num>
  <w:num w:numId="42">
    <w:abstractNumId w:val="23"/>
  </w:num>
  <w:num w:numId="43">
    <w:abstractNumId w:val="29"/>
  </w:num>
  <w:num w:numId="44">
    <w:abstractNumId w:val="11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24C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824C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824C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391754-AD1D-4090-A2A6-E46F5837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2026-06-19T02:26:00Z</dcterms:created>
  <dcterms:modified xsi:type="dcterms:W3CDTF">2026-06-19T02:26:00Z</dcterms:modified>
</cp:coreProperties>
</file>