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4D07403" w:rsidR="0049405C" w:rsidRPr="00187BAA" w:rsidRDefault="00070698" w:rsidP="00070698">
            <w:pPr>
              <w:spacing w:line="720" w:lineRule="auto"/>
              <w:rPr>
                <w:rFonts w:ascii="宋体" w:eastAsia="宋体" w:hAnsi="宋体"/>
                <w:color w:val="545551"/>
              </w:rPr>
            </w:pPr>
            <w:bookmarkStart w:id="0" w:name="xingming"/>
            <w:bookmarkStart w:id="1" w:name="_GoBack"/>
            <w:bookmarkEnd w:id="1"/>
            <w:r w:rsidRPr="00070698">
              <w:rPr>
                <w:rFonts w:ascii="宋体" w:eastAsia="宋体" w:hAnsi="Times New Roman" w:hint="eastAsia"/>
                <w:b/>
                <w:color w:val="000000"/>
                <w:sz w:val="48"/>
              </w:rPr>
              <w:t>王娅</w:t>
            </w:r>
            <w:bookmarkEnd w:id="0"/>
          </w:p>
          <w:p w14:paraId="706EB16B" w14:textId="2BFF95B8" w:rsidR="0049405C" w:rsidRPr="00187BAA" w:rsidRDefault="00070698" w:rsidP="00070698">
            <w:pPr>
              <w:spacing w:line="360" w:lineRule="auto"/>
              <w:rPr>
                <w:rFonts w:ascii="宋体" w:eastAsia="宋体" w:hAnsi="宋体"/>
                <w:b/>
                <w:bCs/>
                <w:color w:val="545551"/>
              </w:rPr>
            </w:pPr>
            <w:bookmarkStart w:id="2" w:name="didian"/>
            <w:r w:rsidRPr="00070698">
              <w:rPr>
                <w:rFonts w:ascii="宋体" w:eastAsia="宋体" w:hAnsi="Times New Roman" w:hint="eastAsia"/>
                <w:b/>
                <w:bCs/>
                <w:color w:val="000000"/>
              </w:rPr>
              <w:t>合伙人·上海</w:t>
            </w:r>
            <w:bookmarkEnd w:id="2"/>
          </w:p>
          <w:p w14:paraId="6199424A" w14:textId="071F8CA3" w:rsidR="0049405C" w:rsidRPr="00187BAA" w:rsidRDefault="00070698" w:rsidP="00070698">
            <w:pPr>
              <w:spacing w:line="360" w:lineRule="auto"/>
              <w:rPr>
                <w:rFonts w:ascii="宋体" w:eastAsia="宋体" w:hAnsi="宋体"/>
                <w:color w:val="545551"/>
              </w:rPr>
            </w:pPr>
            <w:bookmarkStart w:id="3" w:name="dianhua"/>
            <w:r w:rsidRPr="00070698">
              <w:rPr>
                <w:rFonts w:ascii="宋体" w:eastAsia="宋体" w:hAnsi="Times New Roman"/>
                <w:color w:val="000000"/>
              </w:rPr>
              <w:t xml:space="preserve">+86 21 2208 5935 </w:t>
            </w:r>
            <w:bookmarkEnd w:id="3"/>
          </w:p>
          <w:p w14:paraId="4F910ACA" w14:textId="6063060E" w:rsidR="0049405C" w:rsidRPr="00187BAA" w:rsidRDefault="00070698" w:rsidP="00070698">
            <w:pPr>
              <w:spacing w:line="360" w:lineRule="auto"/>
              <w:rPr>
                <w:rFonts w:ascii="宋体" w:eastAsia="宋体" w:hAnsi="宋体"/>
                <w:color w:val="000000"/>
              </w:rPr>
            </w:pPr>
            <w:bookmarkStart w:id="4" w:name="youxiang"/>
            <w:r w:rsidRPr="00070698">
              <w:rPr>
                <w:rFonts w:ascii="宋体" w:eastAsia="宋体" w:hAnsi="Times New Roman"/>
                <w:color w:val="000000"/>
              </w:rPr>
              <w:t>Bella.wang@fangdalaw.com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BAC9C67" w:rsidR="0049405C" w:rsidRPr="00187BAA" w:rsidRDefault="0007069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7F8FB66" wp14:editId="0A58285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1EC33CE" w:rsidR="009465FB" w:rsidRPr="00187BAA" w:rsidRDefault="00070698" w:rsidP="007177F3">
            <w:pPr>
              <w:rPr>
                <w:rFonts w:ascii="宋体" w:eastAsia="宋体" w:hAnsi="宋体"/>
                <w:color w:val="000000"/>
                <w:szCs w:val="21"/>
              </w:rPr>
            </w:pPr>
            <w:bookmarkStart w:id="6" w:name="zhiyelingyu"/>
            <w:r w:rsidRPr="00070698">
              <w:rPr>
                <w:rFonts w:ascii="宋体" w:eastAsia="宋体" w:hAnsi="Times New Roman" w:hint="eastAsia"/>
                <w:color w:val="000000"/>
                <w:szCs w:val="21"/>
              </w:rPr>
              <w:t>王娅律师专长于公司及商事法律事务，服务领域涵盖跨境及境内产品许可及合作、商业化权益授权、生产及产品供应、早期研发以及公司日常法律事务，在制药、生命科学和一般工作领域拥有丰富的项目经验。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404E5A" w14:textId="77777777" w:rsidR="0007069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27BE1BD" w14:textId="77777777" w:rsidR="00070698" w:rsidRDefault="00070698" w:rsidP="00070698">
      <w:pPr>
        <w:pStyle w:val="af5"/>
        <w:spacing w:after="0" w:line="480" w:lineRule="auto"/>
        <w:rPr>
          <w:rFonts w:ascii="宋体" w:eastAsia="宋体" w:hAnsi="宋体"/>
          <w:b/>
          <w:sz w:val="24"/>
        </w:rPr>
      </w:pPr>
      <w:r w:rsidRPr="00070698">
        <w:rPr>
          <w:rFonts w:ascii="宋体" w:eastAsia="宋体" w:hAnsi="宋体" w:hint="eastAsia"/>
          <w:b/>
          <w:sz w:val="24"/>
        </w:rPr>
        <w:t>近期代理的主要案件</w:t>
      </w:r>
    </w:p>
    <w:p w14:paraId="5E36A6E8" w14:textId="77777777" w:rsidR="00070698" w:rsidRDefault="00070698" w:rsidP="00070698">
      <w:pPr>
        <w:pStyle w:val="af5"/>
        <w:spacing w:before="120"/>
        <w:rPr>
          <w:rFonts w:ascii="宋体" w:eastAsia="宋体" w:hAnsi="Times New Roman"/>
          <w:color w:val="000000"/>
        </w:rPr>
      </w:pPr>
      <w:r w:rsidRPr="00070698">
        <w:rPr>
          <w:rFonts w:ascii="宋体" w:eastAsia="宋体" w:hAnsi="Times New Roman" w:hint="eastAsia"/>
          <w:color w:val="000000"/>
        </w:rPr>
        <w:t>许可和合作</w:t>
      </w:r>
    </w:p>
    <w:p w14:paraId="46B469DE" w14:textId="77777777" w:rsidR="00070698" w:rsidRDefault="00070698" w:rsidP="00070698">
      <w:pPr>
        <w:pStyle w:val="af5"/>
        <w:numPr>
          <w:ilvl w:val="0"/>
          <w:numId w:val="4"/>
        </w:numPr>
        <w:spacing w:before="120"/>
        <w:ind w:left="690" w:hanging="240"/>
        <w:rPr>
          <w:rFonts w:ascii="宋体" w:eastAsia="宋体" w:hAnsi="Times New Roman"/>
          <w:color w:val="000000"/>
        </w:rPr>
      </w:pPr>
      <w:r w:rsidRPr="00070698">
        <w:rPr>
          <w:rFonts w:ascii="宋体" w:eastAsia="宋体" w:hAnsi="Times New Roman" w:hint="eastAsia"/>
          <w:color w:val="000000"/>
        </w:rPr>
        <w:t>代表药明巨诺（港交所代码：</w:t>
      </w:r>
      <w:r w:rsidRPr="00070698">
        <w:rPr>
          <w:rFonts w:ascii="宋体" w:eastAsia="宋体" w:hAnsi="Times New Roman"/>
          <w:color w:val="000000"/>
        </w:rPr>
        <w:t>2126），与百时美施贵宝（Bristol Myers Squibb）的全资子公司Juno Therapeutics达成技术许可协议，授予其有关细胞治疗产品的sLVV生产工艺及相关技术知识的全球非排他许可</w:t>
      </w:r>
    </w:p>
    <w:p w14:paraId="1E7819B4" w14:textId="77777777" w:rsidR="00070698" w:rsidRDefault="00070698" w:rsidP="00070698">
      <w:pPr>
        <w:pStyle w:val="af5"/>
        <w:numPr>
          <w:ilvl w:val="0"/>
          <w:numId w:val="5"/>
        </w:numPr>
        <w:spacing w:before="120"/>
        <w:ind w:left="690" w:hanging="240"/>
        <w:rPr>
          <w:rFonts w:ascii="宋体" w:eastAsia="宋体" w:hAnsi="Times New Roman"/>
          <w:color w:val="000000"/>
        </w:rPr>
      </w:pPr>
      <w:r w:rsidRPr="00070698">
        <w:rPr>
          <w:rFonts w:ascii="宋体" w:eastAsia="宋体" w:hAnsi="Times New Roman" w:hint="eastAsia"/>
          <w:color w:val="000000"/>
        </w:rPr>
        <w:t>代表荃信生物（</w:t>
      </w:r>
      <w:r w:rsidRPr="00070698">
        <w:rPr>
          <w:rFonts w:ascii="宋体" w:eastAsia="宋体" w:hAnsi="Times New Roman"/>
          <w:color w:val="000000"/>
        </w:rPr>
        <w:t>2509.HK）就荃信生物自主研发的临床前阶段长效自免双抗QX030N签订授权许可协议，授予Caldera（由Lilly Asia Ventures、Atlas Venture及venBio共同创立）开发及商业化QX030N的全球独家许可</w:t>
      </w:r>
    </w:p>
    <w:p w14:paraId="14491583" w14:textId="77777777" w:rsidR="00070698" w:rsidRDefault="00070698" w:rsidP="00070698">
      <w:pPr>
        <w:pStyle w:val="af5"/>
        <w:numPr>
          <w:ilvl w:val="0"/>
          <w:numId w:val="6"/>
        </w:numPr>
        <w:spacing w:before="120"/>
        <w:ind w:left="690" w:hanging="240"/>
        <w:rPr>
          <w:rFonts w:ascii="宋体" w:eastAsia="宋体" w:hAnsi="Times New Roman"/>
          <w:color w:val="000000"/>
        </w:rPr>
      </w:pPr>
      <w:r w:rsidRPr="00070698">
        <w:rPr>
          <w:rFonts w:ascii="宋体" w:eastAsia="宋体" w:hAnsi="Times New Roman" w:hint="eastAsia"/>
          <w:color w:val="000000"/>
        </w:rPr>
        <w:t>代表</w:t>
      </w:r>
      <w:r w:rsidRPr="00070698">
        <w:rPr>
          <w:rFonts w:ascii="宋体" w:eastAsia="宋体" w:hAnsi="Times New Roman"/>
          <w:color w:val="000000"/>
        </w:rPr>
        <w:t>Nuvation Bio（NYSE:NUVB），为其与CDMO龙头凯莱英（002821.SZ/6821.HK）就某款创新药制剂以及原料药达成全球非排他供货协议提供法律服务</w:t>
      </w:r>
    </w:p>
    <w:p w14:paraId="71BD1D09" w14:textId="77777777" w:rsidR="00070698" w:rsidRDefault="00070698" w:rsidP="00070698">
      <w:pPr>
        <w:pStyle w:val="af5"/>
        <w:numPr>
          <w:ilvl w:val="0"/>
          <w:numId w:val="7"/>
        </w:numPr>
        <w:spacing w:before="120"/>
        <w:ind w:left="690" w:hanging="240"/>
        <w:rPr>
          <w:rFonts w:ascii="宋体" w:eastAsia="宋体" w:hAnsi="Times New Roman"/>
          <w:color w:val="000000"/>
        </w:rPr>
      </w:pPr>
      <w:r w:rsidRPr="00070698">
        <w:rPr>
          <w:rFonts w:ascii="宋体" w:eastAsia="宋体" w:hAnsi="Times New Roman" w:hint="eastAsia"/>
          <w:color w:val="000000"/>
        </w:rPr>
        <w:t>代表复宏汉霖（</w:t>
      </w:r>
      <w:r w:rsidRPr="00070698">
        <w:rPr>
          <w:rFonts w:ascii="宋体" w:eastAsia="宋体" w:hAnsi="Times New Roman"/>
          <w:color w:val="000000"/>
        </w:rPr>
        <w:t>2696.HK），就其与Palleon Pharmaceuticals就引进其糖编辑疗法在大中华区的许可与全球联合研究合作提供法律服务</w:t>
      </w:r>
    </w:p>
    <w:p w14:paraId="7448FBA3" w14:textId="77777777" w:rsidR="00070698" w:rsidRDefault="00070698" w:rsidP="00070698">
      <w:pPr>
        <w:pStyle w:val="af5"/>
        <w:numPr>
          <w:ilvl w:val="0"/>
          <w:numId w:val="8"/>
        </w:numPr>
        <w:spacing w:before="120"/>
        <w:ind w:left="690" w:hanging="240"/>
        <w:rPr>
          <w:rFonts w:ascii="宋体" w:eastAsia="宋体" w:hAnsi="Times New Roman"/>
          <w:color w:val="000000"/>
        </w:rPr>
      </w:pPr>
      <w:r w:rsidRPr="00070698">
        <w:rPr>
          <w:rFonts w:ascii="宋体" w:eastAsia="宋体" w:hAnsi="Times New Roman" w:hint="eastAsia"/>
          <w:color w:val="000000"/>
        </w:rPr>
        <w:t>代表辉瑞投资，就其将两款原研药品在中国大陆的独家进口和经销权利授予某领先的药品进口经销商提供法律服务</w:t>
      </w:r>
    </w:p>
    <w:p w14:paraId="40DEA61A" w14:textId="77777777" w:rsidR="00070698" w:rsidRDefault="00070698" w:rsidP="00070698">
      <w:pPr>
        <w:pStyle w:val="af5"/>
        <w:numPr>
          <w:ilvl w:val="0"/>
          <w:numId w:val="9"/>
        </w:numPr>
        <w:spacing w:before="120"/>
        <w:ind w:left="690" w:hanging="240"/>
        <w:rPr>
          <w:rFonts w:ascii="宋体" w:eastAsia="宋体" w:hAnsi="Times New Roman"/>
          <w:color w:val="000000"/>
        </w:rPr>
      </w:pPr>
      <w:r w:rsidRPr="00070698">
        <w:rPr>
          <w:rFonts w:ascii="宋体" w:eastAsia="宋体" w:hAnsi="Times New Roman" w:hint="eastAsia"/>
          <w:color w:val="000000"/>
        </w:rPr>
        <w:t>代表映恩生物（</w:t>
      </w:r>
      <w:r w:rsidRPr="00070698">
        <w:rPr>
          <w:rFonts w:ascii="宋体" w:eastAsia="宋体" w:hAnsi="Times New Roman"/>
          <w:color w:val="000000"/>
        </w:rPr>
        <w:t>9606.HK），就其授予三生制药旗下沈阳三生制药授予其DB-1303产品 (HER2 ADC) 多个适应症在中国大陆、香港和澳门的商业化权利提供法律服务</w:t>
      </w:r>
    </w:p>
    <w:p w14:paraId="55372D3E" w14:textId="77777777" w:rsidR="00070698" w:rsidRDefault="00070698" w:rsidP="00070698">
      <w:pPr>
        <w:pStyle w:val="af5"/>
        <w:numPr>
          <w:ilvl w:val="0"/>
          <w:numId w:val="10"/>
        </w:numPr>
        <w:spacing w:before="120"/>
        <w:ind w:left="690" w:hanging="240"/>
        <w:rPr>
          <w:rFonts w:ascii="宋体" w:eastAsia="宋体" w:hAnsi="Times New Roman"/>
          <w:color w:val="000000"/>
        </w:rPr>
      </w:pPr>
      <w:r w:rsidRPr="00070698">
        <w:rPr>
          <w:rFonts w:ascii="宋体" w:eastAsia="宋体" w:hAnsi="Times New Roman" w:hint="eastAsia"/>
          <w:color w:val="000000"/>
        </w:rPr>
        <w:t>代表天境生物，就其授权赛诺菲在大中华区开发、生产和商业化天境生物自主研发的全球创新</w:t>
      </w:r>
      <w:r w:rsidRPr="00070698">
        <w:rPr>
          <w:rFonts w:ascii="宋体" w:eastAsia="宋体" w:hAnsi="Times New Roman"/>
          <w:color w:val="000000"/>
        </w:rPr>
        <w:t>CD73抗体尤莱利单抗（Uliledlimab）提供法律服务</w:t>
      </w:r>
    </w:p>
    <w:p w14:paraId="416E6397" w14:textId="77777777" w:rsidR="00070698" w:rsidRDefault="00070698" w:rsidP="00070698">
      <w:pPr>
        <w:pStyle w:val="af5"/>
        <w:numPr>
          <w:ilvl w:val="0"/>
          <w:numId w:val="11"/>
        </w:numPr>
        <w:spacing w:before="120"/>
        <w:ind w:left="690" w:hanging="240"/>
        <w:rPr>
          <w:rFonts w:ascii="宋体" w:eastAsia="宋体" w:hAnsi="Times New Roman"/>
          <w:color w:val="000000"/>
        </w:rPr>
      </w:pPr>
      <w:r w:rsidRPr="00070698">
        <w:rPr>
          <w:rFonts w:ascii="宋体" w:eastAsia="宋体" w:hAnsi="Times New Roman" w:hint="eastAsia"/>
          <w:color w:val="000000"/>
        </w:rPr>
        <w:t>代表基石药业（港交所代码：</w:t>
      </w:r>
      <w:r w:rsidRPr="00070698">
        <w:rPr>
          <w:rFonts w:ascii="宋体" w:eastAsia="宋体" w:hAnsi="Times New Roman"/>
          <w:color w:val="000000"/>
        </w:rPr>
        <w:t>2616），就其授予Pharmalink（一家总部设在阿联酋的知名医药公司）在中东和北非地区商业化舒格利单抗（PD-L1单克隆抗体）的权益、以及授予SteinCares（一家位于拉丁美洲的专业医疗产品商业化与分销领域的领先公司）在拉丁美洲地区近10个国家商业化舒格利单抗的独家权益提供法律服务</w:t>
      </w:r>
    </w:p>
    <w:p w14:paraId="5C0B5E5C" w14:textId="77777777" w:rsidR="00070698" w:rsidRDefault="00070698" w:rsidP="00070698">
      <w:pPr>
        <w:pStyle w:val="af5"/>
        <w:numPr>
          <w:ilvl w:val="0"/>
          <w:numId w:val="12"/>
        </w:numPr>
        <w:spacing w:before="120"/>
        <w:ind w:left="690" w:hanging="240"/>
        <w:rPr>
          <w:rFonts w:ascii="宋体" w:eastAsia="宋体" w:hAnsi="Times New Roman"/>
          <w:color w:val="000000"/>
        </w:rPr>
      </w:pPr>
      <w:r w:rsidRPr="00070698">
        <w:rPr>
          <w:rFonts w:ascii="宋体" w:eastAsia="宋体" w:hAnsi="Times New Roman" w:hint="eastAsia"/>
          <w:color w:val="000000"/>
        </w:rPr>
        <w:t>代表成都康华生物（</w:t>
      </w:r>
      <w:r w:rsidRPr="00070698">
        <w:rPr>
          <w:rFonts w:ascii="宋体" w:eastAsia="宋体" w:hAnsi="Times New Roman"/>
          <w:color w:val="000000"/>
        </w:rPr>
        <w:t>300841.SZ），就其将六价诺如疫苗产品</w:t>
      </w:r>
      <w:r w:rsidRPr="00070698">
        <w:rPr>
          <w:rFonts w:ascii="宋体" w:eastAsia="宋体" w:hAnsi="Times New Roman"/>
          <w:color w:val="000000"/>
        </w:rPr>
        <w:t>“</w:t>
      </w:r>
      <w:r w:rsidRPr="00070698">
        <w:rPr>
          <w:rFonts w:ascii="宋体" w:eastAsia="宋体" w:hAnsi="Times New Roman"/>
          <w:color w:val="000000"/>
        </w:rPr>
        <w:t>HIL-216</w:t>
      </w:r>
      <w:r w:rsidRPr="00070698">
        <w:rPr>
          <w:rFonts w:ascii="宋体" w:eastAsia="宋体" w:hAnsi="Times New Roman"/>
          <w:color w:val="000000"/>
        </w:rPr>
        <w:t>”</w:t>
      </w:r>
      <w:r w:rsidRPr="00070698">
        <w:rPr>
          <w:rFonts w:ascii="宋体" w:eastAsia="宋体" w:hAnsi="Times New Roman"/>
          <w:color w:val="000000"/>
        </w:rPr>
        <w:t>在大中华区以外的独家研发、生产和商业化权利授予HilleVax（NASDAQ: HLVX）并达成临床供货安排提供全流程法律服务</w:t>
      </w:r>
    </w:p>
    <w:p w14:paraId="62A13270" w14:textId="77777777" w:rsidR="00070698" w:rsidRDefault="00070698" w:rsidP="00070698">
      <w:pPr>
        <w:pStyle w:val="af5"/>
        <w:numPr>
          <w:ilvl w:val="0"/>
          <w:numId w:val="13"/>
        </w:numPr>
        <w:spacing w:before="120"/>
        <w:ind w:left="690" w:hanging="240"/>
        <w:rPr>
          <w:rFonts w:ascii="宋体" w:eastAsia="宋体" w:hAnsi="Times New Roman"/>
          <w:color w:val="000000"/>
        </w:rPr>
      </w:pPr>
      <w:r w:rsidRPr="00070698">
        <w:rPr>
          <w:rFonts w:ascii="宋体" w:eastAsia="宋体" w:hAnsi="Times New Roman" w:hint="eastAsia"/>
          <w:color w:val="000000"/>
        </w:rPr>
        <w:t>代表基石药业，就其将抗</w:t>
      </w:r>
      <w:r w:rsidRPr="00070698">
        <w:rPr>
          <w:rFonts w:ascii="宋体" w:eastAsia="宋体" w:hAnsi="Times New Roman"/>
          <w:color w:val="000000"/>
        </w:rPr>
        <w:t>PD-L1单克隆抗体舒格利单抗在中欧部分地区独家商业化权利授予Ewopharma以及相关供货安排提供法律服务</w:t>
      </w:r>
    </w:p>
    <w:p w14:paraId="6AB6DA6A" w14:textId="77777777" w:rsidR="00070698" w:rsidRDefault="00070698" w:rsidP="00070698">
      <w:pPr>
        <w:pStyle w:val="af5"/>
        <w:numPr>
          <w:ilvl w:val="0"/>
          <w:numId w:val="14"/>
        </w:numPr>
        <w:spacing w:before="120"/>
        <w:ind w:left="690" w:hanging="240"/>
        <w:rPr>
          <w:rFonts w:ascii="宋体" w:eastAsia="宋体" w:hAnsi="Times New Roman"/>
          <w:color w:val="000000"/>
        </w:rPr>
      </w:pPr>
      <w:r w:rsidRPr="00070698">
        <w:rPr>
          <w:rFonts w:ascii="宋体" w:eastAsia="宋体" w:hAnsi="Times New Roman" w:hint="eastAsia"/>
          <w:color w:val="000000"/>
        </w:rPr>
        <w:t>代表恒瑞医药（</w:t>
      </w:r>
      <w:r w:rsidRPr="00070698">
        <w:rPr>
          <w:rFonts w:ascii="宋体" w:eastAsia="宋体" w:hAnsi="Times New Roman"/>
          <w:color w:val="000000"/>
        </w:rPr>
        <w:t>600276.SH/01276），就其将代号为</w:t>
      </w:r>
      <w:r w:rsidRPr="00070698">
        <w:rPr>
          <w:rFonts w:ascii="宋体" w:eastAsia="宋体" w:hAnsi="Times New Roman"/>
          <w:color w:val="000000"/>
        </w:rPr>
        <w:t>“</w:t>
      </w:r>
      <w:r w:rsidRPr="00070698">
        <w:rPr>
          <w:rFonts w:ascii="宋体" w:eastAsia="宋体" w:hAnsi="Times New Roman"/>
          <w:color w:val="000000"/>
        </w:rPr>
        <w:t>SHR-1905</w:t>
      </w:r>
      <w:r w:rsidRPr="00070698">
        <w:rPr>
          <w:rFonts w:ascii="宋体" w:eastAsia="宋体" w:hAnsi="Times New Roman"/>
          <w:color w:val="000000"/>
        </w:rPr>
        <w:t>”</w:t>
      </w:r>
      <w:r w:rsidRPr="00070698">
        <w:rPr>
          <w:rFonts w:ascii="宋体" w:eastAsia="宋体" w:hAnsi="Times New Roman"/>
          <w:color w:val="000000"/>
        </w:rPr>
        <w:t>的抗TSLP单克隆抗体在大中华区以外的独家研发、生产及商业化权益授予Aiolos Bio（该公司仅持有该单一资产，并于交易达成后被GSK收购）</w:t>
      </w:r>
    </w:p>
    <w:p w14:paraId="7176E506" w14:textId="77777777" w:rsidR="00070698" w:rsidRDefault="00070698" w:rsidP="00070698">
      <w:pPr>
        <w:pStyle w:val="af5"/>
        <w:numPr>
          <w:ilvl w:val="0"/>
          <w:numId w:val="15"/>
        </w:numPr>
        <w:spacing w:before="120"/>
        <w:ind w:left="690" w:hanging="240"/>
        <w:rPr>
          <w:rFonts w:ascii="宋体" w:eastAsia="宋体" w:hAnsi="Times New Roman"/>
          <w:color w:val="000000"/>
        </w:rPr>
      </w:pPr>
      <w:r w:rsidRPr="00070698">
        <w:rPr>
          <w:rFonts w:ascii="宋体" w:eastAsia="宋体" w:hAnsi="Times New Roman" w:hint="eastAsia"/>
          <w:color w:val="000000"/>
        </w:rPr>
        <w:t>代表因明生物，就其一款小分子免疫宠物药在大中华区的研发、生产和商业化权益授予一家跨国宠物医药巨头</w:t>
      </w:r>
      <w:r w:rsidRPr="00070698">
        <w:rPr>
          <w:rFonts w:ascii="宋体" w:eastAsia="宋体" w:hAnsi="Times New Roman"/>
          <w:color w:val="000000"/>
        </w:rPr>
        <w:t>Elanco提供法律服务</w:t>
      </w:r>
    </w:p>
    <w:p w14:paraId="5A0D141D" w14:textId="77777777" w:rsidR="00070698" w:rsidRDefault="00070698" w:rsidP="00070698">
      <w:pPr>
        <w:pStyle w:val="af5"/>
        <w:numPr>
          <w:ilvl w:val="0"/>
          <w:numId w:val="16"/>
        </w:numPr>
        <w:spacing w:before="120"/>
        <w:ind w:left="690" w:hanging="240"/>
        <w:rPr>
          <w:rFonts w:ascii="宋体" w:eastAsia="宋体" w:hAnsi="Times New Roman"/>
          <w:color w:val="000000"/>
        </w:rPr>
      </w:pPr>
      <w:r w:rsidRPr="00070698">
        <w:rPr>
          <w:rFonts w:ascii="宋体" w:eastAsia="宋体" w:hAnsi="Times New Roman" w:hint="eastAsia"/>
          <w:color w:val="000000"/>
        </w:rPr>
        <w:t>代表宝济药业及其全资子公司晟济药业与欧加隆达成许可协议，用以在中国大陆地区开发一项辅助生殖领域在研创新药物</w:t>
      </w:r>
      <w:r w:rsidRPr="00070698">
        <w:rPr>
          <w:rFonts w:ascii="宋体" w:eastAsia="宋体" w:hAnsi="Times New Roman"/>
          <w:color w:val="000000"/>
        </w:rPr>
        <w:t>SJ02（长效重组人促卵泡激素-CTP融合蛋白注射液）</w:t>
      </w:r>
    </w:p>
    <w:p w14:paraId="118BB0D3" w14:textId="77777777" w:rsidR="00070698" w:rsidRDefault="00070698" w:rsidP="00070698">
      <w:pPr>
        <w:pStyle w:val="af5"/>
        <w:numPr>
          <w:ilvl w:val="0"/>
          <w:numId w:val="17"/>
        </w:numPr>
        <w:spacing w:before="120"/>
        <w:ind w:left="690" w:hanging="240"/>
        <w:rPr>
          <w:rFonts w:ascii="宋体" w:eastAsia="宋体" w:hAnsi="Times New Roman"/>
          <w:color w:val="000000"/>
        </w:rPr>
      </w:pPr>
      <w:r w:rsidRPr="00070698">
        <w:rPr>
          <w:rFonts w:ascii="宋体" w:eastAsia="宋体" w:hAnsi="Times New Roman" w:hint="eastAsia"/>
          <w:color w:val="000000"/>
        </w:rPr>
        <w:t>代表基石药业，就其向艾力斯（</w:t>
      </w:r>
      <w:r w:rsidRPr="00070698">
        <w:rPr>
          <w:rFonts w:ascii="宋体" w:eastAsia="宋体" w:hAnsi="Times New Roman"/>
          <w:color w:val="000000"/>
        </w:rPr>
        <w:t>688578.SH）授予RET抑制剂普吉华</w:t>
      </w:r>
      <w:r w:rsidRPr="00070698">
        <w:rPr>
          <w:rFonts w:ascii="宋体" w:eastAsia="宋体" w:hAnsi="Times New Roman"/>
          <w:color w:val="000000"/>
        </w:rPr>
        <w:t>®</w:t>
      </w:r>
      <w:r w:rsidRPr="00070698">
        <w:rPr>
          <w:rFonts w:ascii="宋体" w:eastAsia="宋体" w:hAnsi="Times New Roman"/>
          <w:color w:val="000000"/>
        </w:rPr>
        <w:t>（普拉替尼胶囊）在中国大陆地区的独家商业化推广权的CSO安排提供服务</w:t>
      </w:r>
    </w:p>
    <w:p w14:paraId="0ACF5E0B" w14:textId="77777777" w:rsidR="00070698" w:rsidRDefault="00070698" w:rsidP="00070698">
      <w:pPr>
        <w:pStyle w:val="af5"/>
        <w:numPr>
          <w:ilvl w:val="0"/>
          <w:numId w:val="18"/>
        </w:numPr>
        <w:spacing w:before="120"/>
        <w:ind w:left="690" w:hanging="240"/>
        <w:rPr>
          <w:rFonts w:ascii="宋体" w:eastAsia="宋体" w:hAnsi="Times New Roman"/>
          <w:color w:val="000000"/>
        </w:rPr>
      </w:pPr>
      <w:r w:rsidRPr="00070698">
        <w:rPr>
          <w:rFonts w:ascii="宋体" w:eastAsia="宋体" w:hAnsi="Times New Roman" w:hint="eastAsia"/>
          <w:color w:val="000000"/>
        </w:rPr>
        <w:t>代表基石药业，就其向施维雅（</w:t>
      </w:r>
      <w:r w:rsidRPr="00070698">
        <w:rPr>
          <w:rFonts w:ascii="宋体" w:eastAsia="宋体" w:hAnsi="Times New Roman"/>
          <w:color w:val="000000"/>
        </w:rPr>
        <w:t>Servier）出售拓舒沃在大中华区和新加坡的业务及商誉(包括被转让资产)并签订资产收购协议及过渡安排协议提供法律服务</w:t>
      </w:r>
    </w:p>
    <w:p w14:paraId="31CF0954" w14:textId="77777777" w:rsidR="00070698" w:rsidRDefault="00070698" w:rsidP="00070698">
      <w:pPr>
        <w:pStyle w:val="af5"/>
        <w:numPr>
          <w:ilvl w:val="0"/>
          <w:numId w:val="19"/>
        </w:numPr>
        <w:spacing w:before="120"/>
        <w:ind w:left="690" w:hanging="240"/>
        <w:rPr>
          <w:rFonts w:ascii="宋体" w:eastAsia="宋体" w:hAnsi="Times New Roman"/>
          <w:color w:val="000000"/>
        </w:rPr>
      </w:pPr>
      <w:r w:rsidRPr="00070698">
        <w:rPr>
          <w:rFonts w:ascii="宋体" w:eastAsia="宋体" w:hAnsi="Times New Roman" w:hint="eastAsia"/>
          <w:color w:val="000000"/>
        </w:rPr>
        <w:t>代表君实生物（</w:t>
      </w:r>
      <w:r w:rsidRPr="00070698">
        <w:rPr>
          <w:rFonts w:ascii="宋体" w:eastAsia="宋体" w:hAnsi="Times New Roman"/>
          <w:color w:val="000000"/>
        </w:rPr>
        <w:t>688180.SH/1877.HK），就其从吉盛澳玛获得一款小核酸鼻用喷雾药物在中国的独家研发、生产、商业化权利以及与吉盛澳玛在大中华区外合作开发IAMA-001鼻喷剂型项目提供法律服务</w:t>
      </w:r>
    </w:p>
    <w:p w14:paraId="3A9E0FA5" w14:textId="77777777" w:rsidR="00070698" w:rsidRDefault="00070698" w:rsidP="00070698">
      <w:pPr>
        <w:pStyle w:val="af5"/>
        <w:numPr>
          <w:ilvl w:val="0"/>
          <w:numId w:val="20"/>
        </w:numPr>
        <w:spacing w:before="120"/>
        <w:ind w:left="690" w:hanging="240"/>
        <w:rPr>
          <w:rFonts w:ascii="宋体" w:eastAsia="宋体" w:hAnsi="Times New Roman"/>
          <w:color w:val="000000"/>
        </w:rPr>
      </w:pPr>
      <w:r w:rsidRPr="00070698">
        <w:rPr>
          <w:rFonts w:ascii="宋体" w:eastAsia="宋体" w:hAnsi="Times New Roman" w:hint="eastAsia"/>
          <w:color w:val="000000"/>
        </w:rPr>
        <w:t>代表</w:t>
      </w:r>
      <w:r w:rsidRPr="00070698">
        <w:rPr>
          <w:rFonts w:ascii="宋体" w:eastAsia="宋体" w:hAnsi="Times New Roman"/>
          <w:color w:val="000000"/>
        </w:rPr>
        <w:t>Overland OADCT，就其将首款靶向CD19的ADC新药Zynlonta向合作伙伴授予东南亚地区的经销许可提供法律服务</w:t>
      </w:r>
    </w:p>
    <w:p w14:paraId="20B5CCA4" w14:textId="77777777" w:rsidR="00070698" w:rsidRDefault="00070698" w:rsidP="00070698">
      <w:pPr>
        <w:pStyle w:val="af5"/>
        <w:numPr>
          <w:ilvl w:val="0"/>
          <w:numId w:val="21"/>
        </w:numPr>
        <w:spacing w:before="120"/>
        <w:ind w:left="690" w:hanging="240"/>
        <w:rPr>
          <w:rFonts w:ascii="宋体" w:eastAsia="宋体" w:hAnsi="Times New Roman"/>
          <w:color w:val="000000"/>
        </w:rPr>
      </w:pPr>
      <w:r w:rsidRPr="00070698">
        <w:rPr>
          <w:rFonts w:ascii="宋体" w:eastAsia="宋体" w:hAnsi="Times New Roman" w:hint="eastAsia"/>
          <w:color w:val="000000"/>
        </w:rPr>
        <w:t>代表阿斯利康，就其与三生制药（</w:t>
      </w:r>
      <w:r w:rsidRPr="00070698">
        <w:rPr>
          <w:rFonts w:ascii="宋体" w:eastAsia="宋体" w:hAnsi="Times New Roman"/>
          <w:color w:val="000000"/>
        </w:rPr>
        <w:t>1530.HK）有关糖尿病药物组合在大中华区的商业化权益授予、交易结构更新和资产收回提供法律服务</w:t>
      </w:r>
    </w:p>
    <w:p w14:paraId="1E948F5D" w14:textId="77777777" w:rsidR="00070698" w:rsidRDefault="00070698" w:rsidP="00070698">
      <w:pPr>
        <w:pStyle w:val="af5"/>
        <w:numPr>
          <w:ilvl w:val="0"/>
          <w:numId w:val="22"/>
        </w:numPr>
        <w:spacing w:before="120"/>
        <w:ind w:left="690" w:hanging="240"/>
        <w:rPr>
          <w:rFonts w:ascii="宋体" w:eastAsia="宋体" w:hAnsi="Times New Roman"/>
          <w:color w:val="000000"/>
        </w:rPr>
      </w:pPr>
      <w:r w:rsidRPr="00070698">
        <w:rPr>
          <w:rFonts w:ascii="宋体" w:eastAsia="宋体" w:hAnsi="Times New Roman" w:hint="eastAsia"/>
          <w:color w:val="000000"/>
        </w:rPr>
        <w:t>代表阿斯利康，就其与一家领先的日本药企就某款药品在大中华区达成独家委托推广合作以及权益收回提供法律服务</w:t>
      </w:r>
    </w:p>
    <w:p w14:paraId="51C94B72" w14:textId="77777777" w:rsidR="00070698" w:rsidRDefault="00070698" w:rsidP="00070698">
      <w:pPr>
        <w:pStyle w:val="af5"/>
        <w:numPr>
          <w:ilvl w:val="0"/>
          <w:numId w:val="23"/>
        </w:numPr>
        <w:spacing w:before="120"/>
        <w:ind w:left="690" w:hanging="240"/>
        <w:rPr>
          <w:rFonts w:ascii="宋体" w:eastAsia="宋体" w:hAnsi="Times New Roman"/>
          <w:color w:val="000000"/>
        </w:rPr>
      </w:pPr>
      <w:r w:rsidRPr="00070698">
        <w:rPr>
          <w:rFonts w:ascii="宋体" w:eastAsia="宋体" w:hAnsi="Times New Roman" w:hint="eastAsia"/>
          <w:color w:val="000000"/>
        </w:rPr>
        <w:t>代表昂阔医药，就其与普众发现就潜在高度差异化靶向</w:t>
      </w:r>
      <w:r w:rsidRPr="00070698">
        <w:rPr>
          <w:rFonts w:ascii="宋体" w:eastAsia="宋体" w:hAnsi="Times New Roman"/>
          <w:color w:val="000000"/>
        </w:rPr>
        <w:t>CDH6抗体药物偶联物（ADC）达成的许可合作提供法律服务</w:t>
      </w:r>
    </w:p>
    <w:p w14:paraId="28961DCE" w14:textId="77777777" w:rsidR="00070698" w:rsidRDefault="00070698" w:rsidP="00070698">
      <w:pPr>
        <w:pStyle w:val="af5"/>
        <w:numPr>
          <w:ilvl w:val="0"/>
          <w:numId w:val="24"/>
        </w:numPr>
        <w:spacing w:before="120"/>
        <w:ind w:left="690" w:hanging="240"/>
        <w:rPr>
          <w:rFonts w:ascii="宋体" w:eastAsia="宋体" w:hAnsi="Times New Roman"/>
          <w:color w:val="000000"/>
        </w:rPr>
      </w:pPr>
      <w:r w:rsidRPr="00070698">
        <w:rPr>
          <w:rFonts w:ascii="宋体" w:eastAsia="宋体" w:hAnsi="Times New Roman" w:hint="eastAsia"/>
          <w:color w:val="000000"/>
        </w:rPr>
        <w:t>代表基石药业，就其向三生制药（</w:t>
      </w:r>
      <w:r w:rsidRPr="00070698">
        <w:rPr>
          <w:rFonts w:ascii="宋体" w:eastAsia="宋体" w:hAnsi="Times New Roman"/>
          <w:color w:val="000000"/>
        </w:rPr>
        <w:t>1530.HK）授予中国大陆地区开发、注册、生产和商业化抗PD-1单抗nofazinlimab的独家许可权益合作安排提供服务</w:t>
      </w:r>
    </w:p>
    <w:p w14:paraId="7768BB75" w14:textId="77777777" w:rsidR="00070698" w:rsidRDefault="00070698" w:rsidP="00070698">
      <w:pPr>
        <w:pStyle w:val="af5"/>
        <w:numPr>
          <w:ilvl w:val="0"/>
          <w:numId w:val="25"/>
        </w:numPr>
        <w:spacing w:before="120"/>
        <w:ind w:left="690" w:hanging="240"/>
        <w:rPr>
          <w:rFonts w:ascii="宋体" w:eastAsia="宋体" w:hAnsi="Times New Roman"/>
          <w:color w:val="000000"/>
        </w:rPr>
      </w:pPr>
      <w:r w:rsidRPr="00070698">
        <w:rPr>
          <w:rFonts w:ascii="宋体" w:eastAsia="宋体" w:hAnsi="Times New Roman" w:hint="eastAsia"/>
          <w:color w:val="000000"/>
        </w:rPr>
        <w:t>代表基石药业，就其授予恒瑞医药在大中华地区研发、生产和商业化抗</w:t>
      </w:r>
      <w:r w:rsidRPr="00070698">
        <w:rPr>
          <w:rFonts w:ascii="宋体" w:eastAsia="宋体" w:hAnsi="Times New Roman"/>
          <w:color w:val="000000"/>
        </w:rPr>
        <w:t>CTLA-4 mAb CS1002的独家许可提供法律服务</w:t>
      </w:r>
    </w:p>
    <w:p w14:paraId="1BEA6F6A" w14:textId="77777777" w:rsidR="00070698" w:rsidRDefault="00070698" w:rsidP="00070698">
      <w:pPr>
        <w:pStyle w:val="af5"/>
        <w:numPr>
          <w:ilvl w:val="0"/>
          <w:numId w:val="26"/>
        </w:numPr>
        <w:spacing w:before="120"/>
        <w:ind w:left="690" w:hanging="240"/>
        <w:rPr>
          <w:rFonts w:ascii="宋体" w:eastAsia="宋体" w:hAnsi="Times New Roman"/>
          <w:color w:val="000000"/>
        </w:rPr>
      </w:pPr>
      <w:r w:rsidRPr="00070698">
        <w:rPr>
          <w:rFonts w:ascii="宋体" w:eastAsia="宋体" w:hAnsi="Times New Roman" w:hint="eastAsia"/>
          <w:color w:val="000000"/>
        </w:rPr>
        <w:t>代表葆元医药，就其授权信达生物（</w:t>
      </w:r>
      <w:r w:rsidRPr="00070698">
        <w:rPr>
          <w:rFonts w:ascii="宋体" w:eastAsia="宋体" w:hAnsi="Times New Roman"/>
          <w:color w:val="000000"/>
        </w:rPr>
        <w:t>01801.HK）在大中华区共同开发和商业化葆元医药主要候选药物taletrectinib提供法律服务</w:t>
      </w:r>
    </w:p>
    <w:p w14:paraId="38349022" w14:textId="77777777" w:rsidR="00070698" w:rsidRDefault="00070698" w:rsidP="00070698">
      <w:pPr>
        <w:pStyle w:val="af5"/>
        <w:numPr>
          <w:ilvl w:val="0"/>
          <w:numId w:val="27"/>
        </w:numPr>
        <w:spacing w:before="120"/>
        <w:ind w:left="690" w:hanging="240"/>
        <w:rPr>
          <w:rFonts w:ascii="宋体" w:eastAsia="宋体" w:hAnsi="Times New Roman"/>
          <w:color w:val="000000"/>
        </w:rPr>
      </w:pPr>
      <w:r w:rsidRPr="00070698">
        <w:rPr>
          <w:rFonts w:ascii="宋体" w:eastAsia="宋体" w:hAnsi="Times New Roman" w:hint="eastAsia"/>
          <w:color w:val="000000"/>
        </w:rPr>
        <w:t>代表星药科技，就与其他药企基于</w:t>
      </w:r>
      <w:r w:rsidRPr="00070698">
        <w:rPr>
          <w:rFonts w:ascii="宋体" w:eastAsia="宋体" w:hAnsi="Times New Roman"/>
          <w:color w:val="000000"/>
        </w:rPr>
        <w:t>AI技术进行早期药物发现和服务提供以实现合作项目和研发管线建议的合作项目提供法律服务</w:t>
      </w:r>
    </w:p>
    <w:p w14:paraId="5C722BBB" w14:textId="77777777" w:rsidR="00070698" w:rsidRDefault="00070698" w:rsidP="00070698">
      <w:pPr>
        <w:pStyle w:val="af5"/>
        <w:numPr>
          <w:ilvl w:val="0"/>
          <w:numId w:val="28"/>
        </w:numPr>
        <w:spacing w:before="120"/>
        <w:ind w:left="690" w:hanging="240"/>
        <w:rPr>
          <w:rFonts w:ascii="宋体" w:eastAsia="宋体" w:hAnsi="Times New Roman"/>
          <w:color w:val="000000"/>
        </w:rPr>
      </w:pPr>
      <w:r w:rsidRPr="00070698">
        <w:rPr>
          <w:rFonts w:ascii="宋体" w:eastAsia="宋体" w:hAnsi="Times New Roman" w:hint="eastAsia"/>
          <w:color w:val="000000"/>
        </w:rPr>
        <w:t>代表元思生肽（原呈元），就其与一家跨国药企就基于</w:t>
      </w:r>
      <w:r w:rsidRPr="00070698">
        <w:rPr>
          <w:rFonts w:ascii="宋体" w:eastAsia="宋体" w:hAnsi="Times New Roman"/>
          <w:color w:val="000000"/>
        </w:rPr>
        <w:t>AI技术进行早期药物发现和研发管线建立的合作提供法律服务</w:t>
      </w:r>
    </w:p>
    <w:p w14:paraId="7D3C4965" w14:textId="77777777" w:rsidR="00070698" w:rsidRDefault="00070698" w:rsidP="00070698">
      <w:pPr>
        <w:pStyle w:val="af5"/>
        <w:numPr>
          <w:ilvl w:val="0"/>
          <w:numId w:val="29"/>
        </w:numPr>
        <w:spacing w:before="120"/>
        <w:ind w:left="690" w:hanging="240"/>
        <w:rPr>
          <w:rFonts w:ascii="宋体" w:eastAsia="宋体" w:hAnsi="Times New Roman"/>
          <w:color w:val="000000"/>
        </w:rPr>
      </w:pPr>
      <w:r w:rsidRPr="00070698">
        <w:rPr>
          <w:rFonts w:ascii="宋体" w:eastAsia="宋体" w:hAnsi="Times New Roman" w:hint="eastAsia"/>
          <w:color w:val="000000"/>
        </w:rPr>
        <w:t>代表君实生物，为其与植恩生物就抗</w:t>
      </w:r>
      <w:r w:rsidRPr="00070698">
        <w:rPr>
          <w:rFonts w:ascii="宋体" w:eastAsia="宋体" w:hAnsi="Times New Roman"/>
          <w:color w:val="000000"/>
        </w:rPr>
        <w:t>PCSK9单抗药物昂戈瑞西单抗（君适达</w:t>
      </w:r>
      <w:r w:rsidRPr="00070698">
        <w:rPr>
          <w:rFonts w:ascii="宋体" w:eastAsia="宋体" w:hAnsi="Times New Roman"/>
          <w:color w:val="000000"/>
        </w:rPr>
        <w:t>®</w:t>
      </w:r>
      <w:r w:rsidRPr="00070698">
        <w:rPr>
          <w:rFonts w:ascii="宋体" w:eastAsia="宋体" w:hAnsi="Times New Roman"/>
          <w:color w:val="000000"/>
        </w:rPr>
        <w:t>）的商业化合作提供法律服务</w:t>
      </w:r>
    </w:p>
    <w:p w14:paraId="4FD45A87" w14:textId="77777777" w:rsidR="00070698" w:rsidRDefault="00070698" w:rsidP="00070698">
      <w:pPr>
        <w:pStyle w:val="af5"/>
        <w:numPr>
          <w:ilvl w:val="0"/>
          <w:numId w:val="30"/>
        </w:numPr>
        <w:spacing w:before="120"/>
        <w:ind w:left="690" w:hanging="240"/>
        <w:rPr>
          <w:rFonts w:ascii="宋体" w:eastAsia="宋体" w:hAnsi="Times New Roman"/>
          <w:color w:val="000000"/>
        </w:rPr>
      </w:pPr>
      <w:r w:rsidRPr="00070698">
        <w:rPr>
          <w:rFonts w:ascii="宋体" w:eastAsia="宋体" w:hAnsi="Times New Roman" w:hint="eastAsia"/>
          <w:color w:val="000000"/>
        </w:rPr>
        <w:t>代表阿斯利康为其将编号为</w:t>
      </w:r>
      <w:r w:rsidRPr="00070698">
        <w:rPr>
          <w:rFonts w:ascii="宋体" w:eastAsia="宋体" w:hAnsi="Times New Roman"/>
          <w:color w:val="000000"/>
        </w:rPr>
        <w:t>AZD1222的腺病毒载体新冠病毒疫苗（与牛津大学合作研发）在中国境内的独家权利授予给康泰生物提供法律服务，工作范围包括尽职调查、合同起草、协助谈判、技术转让等</w:t>
      </w:r>
    </w:p>
    <w:p w14:paraId="677F299D" w14:textId="77777777" w:rsidR="00070698" w:rsidRDefault="00070698" w:rsidP="00070698">
      <w:pPr>
        <w:pStyle w:val="af5"/>
        <w:numPr>
          <w:ilvl w:val="0"/>
          <w:numId w:val="31"/>
        </w:numPr>
        <w:spacing w:before="120"/>
        <w:ind w:left="690" w:hanging="240"/>
        <w:rPr>
          <w:rFonts w:ascii="宋体" w:eastAsia="宋体" w:hAnsi="Times New Roman"/>
          <w:color w:val="000000"/>
        </w:rPr>
      </w:pPr>
      <w:r w:rsidRPr="00070698">
        <w:rPr>
          <w:rFonts w:ascii="宋体" w:eastAsia="宋体" w:hAnsi="Times New Roman" w:hint="eastAsia"/>
          <w:color w:val="000000"/>
        </w:rPr>
        <w:t>代表西藏药业，就其引进俄罗斯</w:t>
      </w:r>
      <w:r w:rsidRPr="00070698">
        <w:rPr>
          <w:rFonts w:ascii="宋体" w:eastAsia="宋体" w:hAnsi="Times New Roman"/>
          <w:color w:val="000000"/>
        </w:rPr>
        <w:t>Sputnik-V疫苗并指定CDMO完成生产技术转移的合作项目提供法律服务</w:t>
      </w:r>
    </w:p>
    <w:p w14:paraId="1F8D35F7" w14:textId="77777777" w:rsidR="00070698" w:rsidRDefault="00070698" w:rsidP="00070698">
      <w:pPr>
        <w:pStyle w:val="af5"/>
        <w:numPr>
          <w:ilvl w:val="0"/>
          <w:numId w:val="32"/>
        </w:numPr>
        <w:spacing w:before="120"/>
        <w:ind w:left="690" w:hanging="240"/>
        <w:rPr>
          <w:rFonts w:ascii="宋体" w:eastAsia="宋体" w:hAnsi="Times New Roman"/>
          <w:color w:val="000000"/>
        </w:rPr>
      </w:pPr>
      <w:r w:rsidRPr="00070698">
        <w:rPr>
          <w:rFonts w:ascii="宋体" w:eastAsia="宋体" w:hAnsi="Times New Roman" w:hint="eastAsia"/>
          <w:color w:val="000000"/>
        </w:rPr>
        <w:t>代表</w:t>
      </w:r>
      <w:r w:rsidRPr="00070698">
        <w:rPr>
          <w:rFonts w:ascii="宋体" w:eastAsia="宋体" w:hAnsi="Times New Roman"/>
          <w:color w:val="000000"/>
        </w:rPr>
        <w:t>Cordis和百特医疗，就其分别委托合作方研发并生产数款医疗器械产品的项目提供包括文件起草、谈判、项目风险管理在内的法律服务</w:t>
      </w:r>
    </w:p>
    <w:p w14:paraId="4A7B1673" w14:textId="77777777" w:rsidR="00070698" w:rsidRDefault="00070698" w:rsidP="00070698">
      <w:pPr>
        <w:pStyle w:val="af5"/>
        <w:numPr>
          <w:ilvl w:val="0"/>
          <w:numId w:val="33"/>
        </w:numPr>
        <w:spacing w:before="120"/>
        <w:ind w:left="690" w:hanging="240"/>
        <w:rPr>
          <w:rFonts w:ascii="宋体" w:eastAsia="宋体" w:hAnsi="Times New Roman"/>
          <w:color w:val="000000"/>
        </w:rPr>
      </w:pPr>
      <w:r w:rsidRPr="00070698">
        <w:rPr>
          <w:rFonts w:ascii="宋体" w:eastAsia="宋体" w:hAnsi="Times New Roman" w:hint="eastAsia"/>
          <w:color w:val="000000"/>
        </w:rPr>
        <w:t>代表数家生物医药公司，就其与国际</w:t>
      </w:r>
      <w:r w:rsidRPr="00070698">
        <w:rPr>
          <w:rFonts w:ascii="宋体" w:eastAsia="宋体" w:hAnsi="Times New Roman"/>
          <w:color w:val="000000"/>
        </w:rPr>
        <w:t>/国内领先的CRO/CDMO的合作提供法律服务</w:t>
      </w:r>
    </w:p>
    <w:p w14:paraId="27C6C403" w14:textId="77777777" w:rsidR="00070698" w:rsidRDefault="00070698" w:rsidP="00070698">
      <w:pPr>
        <w:pStyle w:val="af5"/>
        <w:spacing w:before="120"/>
        <w:rPr>
          <w:rFonts w:ascii="宋体" w:eastAsia="宋体" w:hAnsi="Times New Roman"/>
          <w:color w:val="000000"/>
        </w:rPr>
      </w:pPr>
      <w:r w:rsidRPr="00070698">
        <w:rPr>
          <w:rFonts w:ascii="宋体" w:eastAsia="宋体" w:hAnsi="Times New Roman" w:hint="eastAsia"/>
          <w:color w:val="000000"/>
        </w:rPr>
        <w:t>监管咨询</w:t>
      </w:r>
    </w:p>
    <w:p w14:paraId="6730173A" w14:textId="77777777" w:rsidR="00070698" w:rsidRDefault="00070698" w:rsidP="00070698">
      <w:pPr>
        <w:pStyle w:val="af5"/>
        <w:numPr>
          <w:ilvl w:val="0"/>
          <w:numId w:val="34"/>
        </w:numPr>
        <w:spacing w:before="120"/>
        <w:ind w:left="690" w:hanging="240"/>
        <w:rPr>
          <w:rFonts w:ascii="宋体" w:eastAsia="宋体" w:hAnsi="Times New Roman"/>
          <w:color w:val="000000"/>
        </w:rPr>
      </w:pPr>
      <w:r w:rsidRPr="00070698">
        <w:rPr>
          <w:rFonts w:ascii="宋体" w:eastAsia="宋体" w:hAnsi="Times New Roman" w:hint="eastAsia"/>
          <w:color w:val="000000"/>
        </w:rPr>
        <w:t>为诸多药企、生物科技公司和医疗器械公司的日常法律及合规事项提供咨询，包括但不限于：辉瑞、百利天恒、</w:t>
      </w:r>
      <w:r w:rsidRPr="00070698">
        <w:rPr>
          <w:rFonts w:ascii="宋体" w:eastAsia="宋体" w:hAnsi="Times New Roman"/>
          <w:color w:val="000000"/>
        </w:rPr>
        <w:t>Nuvation Bio、荃信生物、天境生物、艾杉贝瑞、百时美施贵宝，阿斯利康、渤健、基石药业、再鼎医药、葆元医药、复诺健生物、维昇药业、Vyaire、Diurnal、Ionis、优时比、引正基因、养生堂药物研究所、康华生物、康哲药业、纽麦科技等</w:t>
      </w:r>
    </w:p>
    <w:p w14:paraId="55E4C7C0" w14:textId="77777777" w:rsidR="00070698" w:rsidRDefault="00070698" w:rsidP="00070698">
      <w:pPr>
        <w:pStyle w:val="af5"/>
        <w:spacing w:before="120"/>
        <w:rPr>
          <w:rFonts w:ascii="宋体" w:eastAsia="宋体" w:hAnsi="Times New Roman"/>
          <w:color w:val="000000"/>
        </w:rPr>
      </w:pPr>
      <w:r w:rsidRPr="00070698">
        <w:rPr>
          <w:rFonts w:ascii="宋体" w:eastAsia="宋体" w:hAnsi="Times New Roman" w:hint="eastAsia"/>
          <w:color w:val="000000"/>
        </w:rPr>
        <w:t>并购及投融资</w:t>
      </w:r>
    </w:p>
    <w:p w14:paraId="295AB740" w14:textId="77777777" w:rsidR="00070698" w:rsidRDefault="00070698" w:rsidP="00070698">
      <w:pPr>
        <w:pStyle w:val="af5"/>
        <w:numPr>
          <w:ilvl w:val="0"/>
          <w:numId w:val="35"/>
        </w:numPr>
        <w:spacing w:before="120"/>
        <w:ind w:left="690" w:hanging="240"/>
        <w:rPr>
          <w:rFonts w:ascii="宋体" w:eastAsia="宋体" w:hAnsi="Times New Roman"/>
          <w:color w:val="000000"/>
        </w:rPr>
      </w:pPr>
      <w:r w:rsidRPr="00070698">
        <w:rPr>
          <w:rFonts w:ascii="宋体" w:eastAsia="宋体" w:hAnsi="Times New Roman" w:hint="eastAsia"/>
          <w:color w:val="000000"/>
        </w:rPr>
        <w:t>代表阿斯利康，为其在无锡投资新建总投资额</w:t>
      </w:r>
      <w:r w:rsidRPr="00070698">
        <w:rPr>
          <w:rFonts w:ascii="宋体" w:eastAsia="宋体" w:hAnsi="Times New Roman"/>
          <w:color w:val="000000"/>
        </w:rPr>
        <w:t>4.75亿美元的小分子创新药工厂项目提供法律服务</w:t>
      </w:r>
    </w:p>
    <w:p w14:paraId="08124A1A" w14:textId="77777777" w:rsidR="00070698" w:rsidRDefault="00070698" w:rsidP="00070698">
      <w:pPr>
        <w:pStyle w:val="af5"/>
        <w:numPr>
          <w:ilvl w:val="0"/>
          <w:numId w:val="36"/>
        </w:numPr>
        <w:spacing w:before="120"/>
        <w:ind w:left="690" w:hanging="240"/>
        <w:rPr>
          <w:rFonts w:ascii="宋体" w:eastAsia="宋体" w:hAnsi="Times New Roman"/>
          <w:color w:val="000000"/>
        </w:rPr>
      </w:pPr>
      <w:r w:rsidRPr="00070698">
        <w:rPr>
          <w:rFonts w:ascii="宋体" w:eastAsia="宋体" w:hAnsi="Times New Roman" w:hint="eastAsia"/>
          <w:color w:val="000000"/>
        </w:rPr>
        <w:t>代表一家领先的欧洲齿科设备生产商，就其与一家中国领先的齿科设备公司设立合资公司提供法律服务</w:t>
      </w:r>
    </w:p>
    <w:p w14:paraId="65855FA5" w14:textId="77777777" w:rsidR="00070698" w:rsidRDefault="00070698" w:rsidP="00070698">
      <w:pPr>
        <w:pStyle w:val="af5"/>
        <w:numPr>
          <w:ilvl w:val="0"/>
          <w:numId w:val="37"/>
        </w:numPr>
        <w:spacing w:before="120"/>
        <w:ind w:left="690" w:hanging="240"/>
        <w:rPr>
          <w:rFonts w:ascii="宋体" w:eastAsia="宋体" w:hAnsi="Times New Roman"/>
          <w:color w:val="000000"/>
        </w:rPr>
      </w:pPr>
      <w:r w:rsidRPr="00070698">
        <w:rPr>
          <w:rFonts w:ascii="宋体" w:eastAsia="宋体" w:hAnsi="Times New Roman" w:hint="eastAsia"/>
          <w:color w:val="000000"/>
        </w:rPr>
        <w:t>代表复诺健生物就其</w:t>
      </w:r>
      <w:r w:rsidRPr="00070698">
        <w:rPr>
          <w:rFonts w:ascii="宋体" w:eastAsia="宋体" w:hAnsi="Times New Roman"/>
          <w:color w:val="000000"/>
        </w:rPr>
        <w:t>C轮融资和D1轮、D2轮融资提供法律服务</w:t>
      </w:r>
    </w:p>
    <w:p w14:paraId="2B65B498" w14:textId="77777777" w:rsidR="00070698" w:rsidRDefault="00070698" w:rsidP="00070698">
      <w:pPr>
        <w:pStyle w:val="af5"/>
        <w:numPr>
          <w:ilvl w:val="0"/>
          <w:numId w:val="38"/>
        </w:numPr>
        <w:spacing w:before="120"/>
        <w:ind w:left="690" w:hanging="240"/>
        <w:rPr>
          <w:rFonts w:ascii="宋体" w:eastAsia="宋体" w:hAnsi="Times New Roman"/>
          <w:color w:val="000000"/>
        </w:rPr>
      </w:pPr>
      <w:r w:rsidRPr="00070698">
        <w:rPr>
          <w:rFonts w:ascii="宋体" w:eastAsia="宋体" w:hAnsi="Times New Roman" w:hint="eastAsia"/>
          <w:color w:val="000000"/>
        </w:rPr>
        <w:t>分别代表国药资本和百奥财富基金，就其数个生物科技公司的股权投资项目提供法律服务</w:t>
      </w:r>
    </w:p>
    <w:p w14:paraId="47445A54" w14:textId="77777777" w:rsidR="00070698" w:rsidRDefault="00070698" w:rsidP="00070698">
      <w:pPr>
        <w:pStyle w:val="af5"/>
        <w:numPr>
          <w:ilvl w:val="0"/>
          <w:numId w:val="39"/>
        </w:numPr>
        <w:spacing w:before="120"/>
        <w:ind w:left="690" w:hanging="240"/>
        <w:rPr>
          <w:rFonts w:ascii="宋体" w:eastAsia="宋体" w:hAnsi="Times New Roman"/>
          <w:color w:val="000000"/>
        </w:rPr>
      </w:pPr>
      <w:r w:rsidRPr="00070698">
        <w:rPr>
          <w:rFonts w:ascii="宋体" w:eastAsia="宋体" w:hAnsi="Times New Roman" w:hint="eastAsia"/>
          <w:color w:val="000000"/>
        </w:rPr>
        <w:t>代表瓦克，就其收购一家中国公司中的多数股权并与中国合作方达成合资合作提供法律服务</w:t>
      </w:r>
    </w:p>
    <w:p w14:paraId="6D752607" w14:textId="77777777" w:rsidR="00070698" w:rsidRDefault="00070698" w:rsidP="00070698">
      <w:pPr>
        <w:pStyle w:val="af5"/>
        <w:numPr>
          <w:ilvl w:val="0"/>
          <w:numId w:val="40"/>
        </w:numPr>
        <w:spacing w:before="120"/>
        <w:ind w:left="690" w:hanging="240"/>
        <w:rPr>
          <w:rFonts w:ascii="宋体" w:eastAsia="宋体" w:hAnsi="Times New Roman"/>
          <w:color w:val="000000"/>
        </w:rPr>
      </w:pPr>
      <w:r w:rsidRPr="00070698">
        <w:rPr>
          <w:rFonts w:ascii="宋体" w:eastAsia="宋体" w:hAnsi="Times New Roman" w:hint="eastAsia"/>
          <w:color w:val="000000"/>
        </w:rPr>
        <w:t>代表科思创，对其拟议收购一家中国领先的薄膜生产商的项目提供法律服务</w:t>
      </w:r>
    </w:p>
    <w:p w14:paraId="72AAB172" w14:textId="77777777" w:rsidR="00070698" w:rsidRDefault="00070698" w:rsidP="00070698">
      <w:pPr>
        <w:pStyle w:val="af5"/>
        <w:numPr>
          <w:ilvl w:val="0"/>
          <w:numId w:val="41"/>
        </w:numPr>
        <w:spacing w:before="120"/>
        <w:ind w:left="690" w:hanging="240"/>
        <w:rPr>
          <w:rFonts w:ascii="宋体" w:eastAsia="宋体" w:hAnsi="Times New Roman"/>
          <w:color w:val="000000"/>
        </w:rPr>
      </w:pPr>
      <w:r w:rsidRPr="00070698">
        <w:rPr>
          <w:rFonts w:ascii="宋体" w:eastAsia="宋体" w:hAnsi="Times New Roman" w:hint="eastAsia"/>
          <w:color w:val="000000"/>
        </w:rPr>
        <w:t>代表</w:t>
      </w:r>
      <w:r w:rsidRPr="00070698">
        <w:rPr>
          <w:rFonts w:ascii="宋体" w:eastAsia="宋体" w:hAnsi="Times New Roman"/>
          <w:color w:val="000000"/>
        </w:rPr>
        <w:t>ESR（益商红木集团）为其在中国对数起物流资产的收购/剥离项目提供法律服务</w:t>
      </w:r>
    </w:p>
    <w:p w14:paraId="6AD7B16A" w14:textId="77777777" w:rsidR="00070698" w:rsidRDefault="00070698" w:rsidP="00070698">
      <w:pPr>
        <w:pStyle w:val="af5"/>
        <w:numPr>
          <w:ilvl w:val="0"/>
          <w:numId w:val="42"/>
        </w:numPr>
        <w:spacing w:before="120"/>
        <w:ind w:left="690" w:hanging="240"/>
        <w:rPr>
          <w:rFonts w:ascii="宋体" w:eastAsia="宋体" w:hAnsi="Times New Roman"/>
          <w:color w:val="000000"/>
        </w:rPr>
      </w:pPr>
      <w:r w:rsidRPr="00070698">
        <w:rPr>
          <w:rFonts w:ascii="宋体" w:eastAsia="宋体" w:hAnsi="Times New Roman" w:hint="eastAsia"/>
          <w:color w:val="000000"/>
        </w:rPr>
        <w:t>代表</w:t>
      </w:r>
      <w:r w:rsidRPr="00070698">
        <w:rPr>
          <w:rFonts w:ascii="宋体" w:eastAsia="宋体" w:hAnsi="Times New Roman"/>
          <w:color w:val="000000"/>
        </w:rPr>
        <w:t>Redwood China Logistics Fund及其他卖方为他们向ESR和宏利金融集团设立的实体出售位于中国大陆的物流资产提供法律服务</w:t>
      </w:r>
    </w:p>
    <w:p w14:paraId="3863CA12" w14:textId="77777777" w:rsidR="00070698" w:rsidRDefault="00070698" w:rsidP="00070698">
      <w:pPr>
        <w:pStyle w:val="af5"/>
        <w:numPr>
          <w:ilvl w:val="0"/>
          <w:numId w:val="43"/>
        </w:numPr>
        <w:spacing w:before="120"/>
        <w:ind w:left="690" w:hanging="240"/>
        <w:rPr>
          <w:rFonts w:ascii="宋体" w:eastAsia="宋体" w:hAnsi="Times New Roman"/>
          <w:color w:val="000000"/>
        </w:rPr>
      </w:pPr>
      <w:r w:rsidRPr="00070698">
        <w:rPr>
          <w:rFonts w:ascii="宋体" w:eastAsia="宋体" w:hAnsi="Times New Roman" w:hint="eastAsia"/>
          <w:color w:val="000000"/>
        </w:rPr>
        <w:t>代表</w:t>
      </w:r>
      <w:r w:rsidRPr="00070698">
        <w:rPr>
          <w:rFonts w:ascii="宋体" w:eastAsia="宋体" w:hAnsi="Times New Roman"/>
          <w:color w:val="000000"/>
        </w:rPr>
        <w:t>Mount Kellett，就其对一家中国不动产经纪公司的投资和投资退出提供法律服务</w:t>
      </w:r>
    </w:p>
    <w:p w14:paraId="279F4BF3" w14:textId="77777777" w:rsidR="00070698" w:rsidRDefault="00070698" w:rsidP="00070698">
      <w:pPr>
        <w:pStyle w:val="af5"/>
        <w:spacing w:after="0" w:line="480" w:lineRule="auto"/>
        <w:rPr>
          <w:rFonts w:ascii="宋体" w:eastAsia="宋体" w:hAnsi="宋体"/>
          <w:b/>
          <w:sz w:val="24"/>
        </w:rPr>
      </w:pPr>
      <w:r w:rsidRPr="00070698">
        <w:rPr>
          <w:rFonts w:ascii="宋体" w:eastAsia="宋体" w:hAnsi="宋体" w:hint="eastAsia"/>
          <w:b/>
          <w:sz w:val="24"/>
        </w:rPr>
        <w:t>教育背景</w:t>
      </w:r>
    </w:p>
    <w:p w14:paraId="6AC0747A" w14:textId="77777777" w:rsidR="00070698" w:rsidRDefault="00070698" w:rsidP="00070698">
      <w:pPr>
        <w:pStyle w:val="af5"/>
        <w:numPr>
          <w:ilvl w:val="0"/>
          <w:numId w:val="44"/>
        </w:numPr>
        <w:spacing w:before="120"/>
        <w:ind w:left="690" w:hanging="240"/>
        <w:rPr>
          <w:rFonts w:ascii="宋体" w:eastAsia="宋体" w:hAnsi="Times New Roman"/>
          <w:color w:val="000000"/>
        </w:rPr>
      </w:pPr>
      <w:r w:rsidRPr="00070698">
        <w:rPr>
          <w:rFonts w:ascii="宋体" w:eastAsia="宋体" w:hAnsi="Times New Roman" w:hint="eastAsia"/>
          <w:color w:val="000000"/>
        </w:rPr>
        <w:t>波士顿大学法学院，法律硕士，</w:t>
      </w:r>
      <w:r w:rsidRPr="00070698">
        <w:rPr>
          <w:rFonts w:ascii="宋体" w:eastAsia="宋体" w:hAnsi="Times New Roman"/>
          <w:color w:val="000000"/>
        </w:rPr>
        <w:t>2014</w:t>
      </w:r>
    </w:p>
    <w:p w14:paraId="2C1D61AA" w14:textId="77777777" w:rsidR="00070698" w:rsidRDefault="00070698" w:rsidP="00070698">
      <w:pPr>
        <w:pStyle w:val="af5"/>
        <w:numPr>
          <w:ilvl w:val="0"/>
          <w:numId w:val="45"/>
        </w:numPr>
        <w:spacing w:before="120"/>
        <w:ind w:left="690" w:hanging="240"/>
        <w:rPr>
          <w:rFonts w:ascii="宋体" w:eastAsia="宋体" w:hAnsi="Times New Roman"/>
          <w:color w:val="000000"/>
        </w:rPr>
      </w:pPr>
      <w:r w:rsidRPr="00070698">
        <w:rPr>
          <w:rFonts w:ascii="宋体" w:eastAsia="宋体" w:hAnsi="Times New Roman" w:hint="eastAsia"/>
          <w:color w:val="000000"/>
        </w:rPr>
        <w:t>上海财经大学法学院，法学学士和第二专业文学学士，</w:t>
      </w:r>
      <w:r w:rsidRPr="00070698">
        <w:rPr>
          <w:rFonts w:ascii="宋体" w:eastAsia="宋体" w:hAnsi="Times New Roman"/>
          <w:color w:val="000000"/>
        </w:rPr>
        <w:t>2011</w:t>
      </w:r>
    </w:p>
    <w:p w14:paraId="43E25B86" w14:textId="77777777" w:rsidR="00070698" w:rsidRDefault="00070698" w:rsidP="00070698">
      <w:pPr>
        <w:pStyle w:val="af5"/>
        <w:spacing w:after="0" w:line="480" w:lineRule="auto"/>
        <w:rPr>
          <w:rFonts w:ascii="宋体" w:eastAsia="宋体" w:hAnsi="宋体"/>
          <w:b/>
          <w:sz w:val="24"/>
        </w:rPr>
      </w:pPr>
      <w:r w:rsidRPr="00070698">
        <w:rPr>
          <w:rFonts w:ascii="宋体" w:eastAsia="宋体" w:hAnsi="宋体" w:hint="eastAsia"/>
          <w:b/>
          <w:sz w:val="24"/>
        </w:rPr>
        <w:t>执业资格</w:t>
      </w:r>
    </w:p>
    <w:p w14:paraId="34C7F4EF" w14:textId="77777777" w:rsidR="00070698" w:rsidRDefault="00070698" w:rsidP="00070698">
      <w:pPr>
        <w:pStyle w:val="af5"/>
        <w:numPr>
          <w:ilvl w:val="0"/>
          <w:numId w:val="46"/>
        </w:numPr>
        <w:spacing w:before="120"/>
        <w:ind w:left="690" w:hanging="240"/>
        <w:rPr>
          <w:rFonts w:ascii="宋体" w:eastAsia="宋体" w:hAnsi="Times New Roman"/>
          <w:color w:val="000000"/>
        </w:rPr>
      </w:pPr>
      <w:r w:rsidRPr="00070698">
        <w:rPr>
          <w:rFonts w:ascii="宋体" w:eastAsia="宋体" w:hAnsi="Times New Roman" w:hint="eastAsia"/>
          <w:color w:val="000000"/>
        </w:rPr>
        <w:t>中华人民共和国执业律师，</w:t>
      </w:r>
      <w:r w:rsidRPr="00070698">
        <w:rPr>
          <w:rFonts w:ascii="宋体" w:eastAsia="宋体" w:hAnsi="Times New Roman"/>
          <w:color w:val="000000"/>
        </w:rPr>
        <w:t>2016</w:t>
      </w:r>
    </w:p>
    <w:p w14:paraId="6D854CA6" w14:textId="77777777" w:rsidR="00070698" w:rsidRDefault="00070698" w:rsidP="00070698">
      <w:pPr>
        <w:pStyle w:val="af5"/>
        <w:spacing w:after="0" w:line="480" w:lineRule="auto"/>
        <w:rPr>
          <w:rFonts w:ascii="宋体" w:eastAsia="宋体" w:hAnsi="宋体"/>
          <w:b/>
          <w:sz w:val="24"/>
        </w:rPr>
      </w:pPr>
      <w:r w:rsidRPr="00070698">
        <w:rPr>
          <w:rFonts w:ascii="宋体" w:eastAsia="宋体" w:hAnsi="宋体" w:hint="eastAsia"/>
          <w:b/>
          <w:sz w:val="24"/>
        </w:rPr>
        <w:t>职业背景</w:t>
      </w:r>
    </w:p>
    <w:p w14:paraId="4F0A196B" w14:textId="3251B41D" w:rsidR="00A46A04" w:rsidRPr="00070698" w:rsidRDefault="00070698" w:rsidP="00070698">
      <w:pPr>
        <w:pStyle w:val="af5"/>
        <w:numPr>
          <w:ilvl w:val="0"/>
          <w:numId w:val="47"/>
        </w:numPr>
        <w:spacing w:before="120"/>
        <w:ind w:left="690" w:hanging="240"/>
        <w:rPr>
          <w:rFonts w:ascii="宋体" w:eastAsia="宋体" w:hAnsi="Times New Roman"/>
          <w:color w:val="000000"/>
        </w:rPr>
      </w:pPr>
      <w:r w:rsidRPr="00070698">
        <w:rPr>
          <w:rFonts w:ascii="宋体" w:eastAsia="宋体" w:hAnsi="Times New Roman" w:hint="eastAsia"/>
          <w:color w:val="000000"/>
        </w:rPr>
        <w:t>王律师于</w:t>
      </w:r>
      <w:r w:rsidRPr="00070698">
        <w:rPr>
          <w:rFonts w:ascii="宋体" w:eastAsia="宋体" w:hAnsi="Times New Roman"/>
          <w:color w:val="000000"/>
        </w:rPr>
        <w:t>2018年加入方达律师事务所。在此之前，她曾在一家知名红圈律所工作近4年，并在一家精品律师事务所工作超过1年。</w:t>
      </w:r>
    </w:p>
    <w:sectPr w:rsidR="00A46A04" w:rsidRPr="0007069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274B"/>
    <w:multiLevelType w:val="singleLevel"/>
    <w:tmpl w:val="4510D13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661EBB"/>
    <w:multiLevelType w:val="singleLevel"/>
    <w:tmpl w:val="167CFB3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812CCE"/>
    <w:multiLevelType w:val="singleLevel"/>
    <w:tmpl w:val="C31EF5C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1B0D6A"/>
    <w:multiLevelType w:val="singleLevel"/>
    <w:tmpl w:val="5FF4B2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1E776E"/>
    <w:multiLevelType w:val="singleLevel"/>
    <w:tmpl w:val="9E328C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0273CA"/>
    <w:multiLevelType w:val="singleLevel"/>
    <w:tmpl w:val="8C02900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630A69"/>
    <w:multiLevelType w:val="singleLevel"/>
    <w:tmpl w:val="69AA1B6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92573B"/>
    <w:multiLevelType w:val="singleLevel"/>
    <w:tmpl w:val="B9EAE37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0108B7"/>
    <w:multiLevelType w:val="singleLevel"/>
    <w:tmpl w:val="34343D2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13643E"/>
    <w:multiLevelType w:val="singleLevel"/>
    <w:tmpl w:val="9444926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903E51"/>
    <w:multiLevelType w:val="singleLevel"/>
    <w:tmpl w:val="C6D20A5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7C70EF"/>
    <w:multiLevelType w:val="singleLevel"/>
    <w:tmpl w:val="3A5E83F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F63124"/>
    <w:multiLevelType w:val="singleLevel"/>
    <w:tmpl w:val="4088124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F95B04"/>
    <w:multiLevelType w:val="singleLevel"/>
    <w:tmpl w:val="DF32013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A7674D"/>
    <w:multiLevelType w:val="singleLevel"/>
    <w:tmpl w:val="C3F04C3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F1773E1"/>
    <w:multiLevelType w:val="singleLevel"/>
    <w:tmpl w:val="F5FEDD6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F5112DB"/>
    <w:multiLevelType w:val="singleLevel"/>
    <w:tmpl w:val="9BCA2BA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F681B73"/>
    <w:multiLevelType w:val="singleLevel"/>
    <w:tmpl w:val="79DA289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03F39B7"/>
    <w:multiLevelType w:val="singleLevel"/>
    <w:tmpl w:val="CD0A780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4C3749"/>
    <w:multiLevelType w:val="singleLevel"/>
    <w:tmpl w:val="7A4C307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1C46D4B"/>
    <w:multiLevelType w:val="singleLevel"/>
    <w:tmpl w:val="369C761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1DE6137"/>
    <w:multiLevelType w:val="singleLevel"/>
    <w:tmpl w:val="8E8637D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52F073C"/>
    <w:multiLevelType w:val="singleLevel"/>
    <w:tmpl w:val="734A50C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6E23D84"/>
    <w:multiLevelType w:val="singleLevel"/>
    <w:tmpl w:val="6A50DE3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6E76AFD"/>
    <w:multiLevelType w:val="singleLevel"/>
    <w:tmpl w:val="464EA3A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7394B33"/>
    <w:multiLevelType w:val="singleLevel"/>
    <w:tmpl w:val="FD9AA7C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7B01D0C"/>
    <w:multiLevelType w:val="singleLevel"/>
    <w:tmpl w:val="C53AF6F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9536483"/>
    <w:multiLevelType w:val="singleLevel"/>
    <w:tmpl w:val="5DB8EA7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A371523"/>
    <w:multiLevelType w:val="singleLevel"/>
    <w:tmpl w:val="2BB64F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1" w15:restartNumberingAfterBreak="0">
    <w:nsid w:val="3C216E86"/>
    <w:multiLevelType w:val="singleLevel"/>
    <w:tmpl w:val="99BC478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78B6A14"/>
    <w:multiLevelType w:val="singleLevel"/>
    <w:tmpl w:val="E44E432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90D453C"/>
    <w:multiLevelType w:val="singleLevel"/>
    <w:tmpl w:val="F9528B5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BCD43F1"/>
    <w:multiLevelType w:val="singleLevel"/>
    <w:tmpl w:val="D016711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C2A23D5"/>
    <w:multiLevelType w:val="singleLevel"/>
    <w:tmpl w:val="06EE3BC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461671B"/>
    <w:multiLevelType w:val="singleLevel"/>
    <w:tmpl w:val="7ED2E06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4AD2778"/>
    <w:multiLevelType w:val="singleLevel"/>
    <w:tmpl w:val="C4DCB64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E4A5D33"/>
    <w:multiLevelType w:val="singleLevel"/>
    <w:tmpl w:val="06EE3BC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27D001B"/>
    <w:multiLevelType w:val="singleLevel"/>
    <w:tmpl w:val="55668BE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6270BF8"/>
    <w:multiLevelType w:val="singleLevel"/>
    <w:tmpl w:val="74E8648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65748D6"/>
    <w:multiLevelType w:val="singleLevel"/>
    <w:tmpl w:val="4330094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66C68C5"/>
    <w:multiLevelType w:val="singleLevel"/>
    <w:tmpl w:val="5CC8D50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A304E0D"/>
    <w:multiLevelType w:val="singleLevel"/>
    <w:tmpl w:val="C9B6D77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BE71A62"/>
    <w:multiLevelType w:val="singleLevel"/>
    <w:tmpl w:val="0E1A60D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DB974EB"/>
    <w:multiLevelType w:val="singleLevel"/>
    <w:tmpl w:val="B5A2B1D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0B4863"/>
    <w:multiLevelType w:val="singleLevel"/>
    <w:tmpl w:val="3E6AE9B6"/>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30"/>
  </w:num>
  <w:num w:numId="3">
    <w:abstractNumId w:val="1"/>
  </w:num>
  <w:num w:numId="4">
    <w:abstractNumId w:val="46"/>
  </w:num>
  <w:num w:numId="5">
    <w:abstractNumId w:val="25"/>
  </w:num>
  <w:num w:numId="6">
    <w:abstractNumId w:val="4"/>
  </w:num>
  <w:num w:numId="7">
    <w:abstractNumId w:val="12"/>
  </w:num>
  <w:num w:numId="8">
    <w:abstractNumId w:val="39"/>
  </w:num>
  <w:num w:numId="9">
    <w:abstractNumId w:val="37"/>
  </w:num>
  <w:num w:numId="10">
    <w:abstractNumId w:val="36"/>
  </w:num>
  <w:num w:numId="11">
    <w:abstractNumId w:val="23"/>
  </w:num>
  <w:num w:numId="12">
    <w:abstractNumId w:val="19"/>
  </w:num>
  <w:num w:numId="13">
    <w:abstractNumId w:val="31"/>
  </w:num>
  <w:num w:numId="14">
    <w:abstractNumId w:val="7"/>
  </w:num>
  <w:num w:numId="15">
    <w:abstractNumId w:val="21"/>
  </w:num>
  <w:num w:numId="16">
    <w:abstractNumId w:val="3"/>
  </w:num>
  <w:num w:numId="17">
    <w:abstractNumId w:val="22"/>
  </w:num>
  <w:num w:numId="18">
    <w:abstractNumId w:val="29"/>
  </w:num>
  <w:num w:numId="19">
    <w:abstractNumId w:val="28"/>
  </w:num>
  <w:num w:numId="20">
    <w:abstractNumId w:val="0"/>
  </w:num>
  <w:num w:numId="21">
    <w:abstractNumId w:val="8"/>
  </w:num>
  <w:num w:numId="22">
    <w:abstractNumId w:val="16"/>
  </w:num>
  <w:num w:numId="23">
    <w:abstractNumId w:val="13"/>
  </w:num>
  <w:num w:numId="24">
    <w:abstractNumId w:val="27"/>
  </w:num>
  <w:num w:numId="25">
    <w:abstractNumId w:val="43"/>
  </w:num>
  <w:num w:numId="26">
    <w:abstractNumId w:val="26"/>
  </w:num>
  <w:num w:numId="27">
    <w:abstractNumId w:val="2"/>
  </w:num>
  <w:num w:numId="28">
    <w:abstractNumId w:val="24"/>
  </w:num>
  <w:num w:numId="29">
    <w:abstractNumId w:val="10"/>
  </w:num>
  <w:num w:numId="30">
    <w:abstractNumId w:val="41"/>
  </w:num>
  <w:num w:numId="31">
    <w:abstractNumId w:val="15"/>
  </w:num>
  <w:num w:numId="32">
    <w:abstractNumId w:val="18"/>
  </w:num>
  <w:num w:numId="33">
    <w:abstractNumId w:val="40"/>
  </w:num>
  <w:num w:numId="34">
    <w:abstractNumId w:val="34"/>
  </w:num>
  <w:num w:numId="35">
    <w:abstractNumId w:val="17"/>
  </w:num>
  <w:num w:numId="36">
    <w:abstractNumId w:val="33"/>
  </w:num>
  <w:num w:numId="37">
    <w:abstractNumId w:val="11"/>
  </w:num>
  <w:num w:numId="38">
    <w:abstractNumId w:val="6"/>
  </w:num>
  <w:num w:numId="39">
    <w:abstractNumId w:val="9"/>
  </w:num>
  <w:num w:numId="40">
    <w:abstractNumId w:val="42"/>
  </w:num>
  <w:num w:numId="41">
    <w:abstractNumId w:val="32"/>
  </w:num>
  <w:num w:numId="42">
    <w:abstractNumId w:val="5"/>
  </w:num>
  <w:num w:numId="43">
    <w:abstractNumId w:val="14"/>
  </w:num>
  <w:num w:numId="44">
    <w:abstractNumId w:val="45"/>
  </w:num>
  <w:num w:numId="45">
    <w:abstractNumId w:val="44"/>
  </w:num>
  <w:num w:numId="46">
    <w:abstractNumId w:val="35"/>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70698"/>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70698"/>
    <w:pPr>
      <w:spacing w:after="120"/>
    </w:pPr>
  </w:style>
  <w:style w:type="character" w:customStyle="1" w:styleId="af6">
    <w:name w:val="正文文本 字符"/>
    <w:basedOn w:val="a0"/>
    <w:link w:val="af5"/>
    <w:uiPriority w:val="99"/>
    <w:rsid w:val="0007069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B4788-1EB0-4B98-9687-4C906FEB2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476</Words>
  <Characters>2719</Characters>
  <Application>Microsoft Office Word</Application>
  <DocSecurity>0</DocSecurity>
  <Lines>22</Lines>
  <Paragraphs>6</Paragraphs>
  <ScaleCrop>false</ScaleCrop>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2026-10-20T02:40:00Z</dcterms:created>
  <dcterms:modified xsi:type="dcterms:W3CDTF">2026-10-20T02:40:00Z</dcterms:modified>
</cp:coreProperties>
</file>