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4061894" w:rsidR="0049405C" w:rsidRPr="00187BAA" w:rsidRDefault="007477C5" w:rsidP="007477C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477C5">
              <w:rPr>
                <w:rFonts w:ascii="宋体" w:eastAsia="宋体" w:hAnsi="Times New Roman" w:hint="eastAsia"/>
                <w:b/>
                <w:color w:val="000000"/>
                <w:sz w:val="48"/>
              </w:rPr>
              <w:t>甘燕</w:t>
            </w:r>
            <w:bookmarkEnd w:id="0"/>
          </w:p>
          <w:p w14:paraId="706EB16B" w14:textId="48E998F1" w:rsidR="0049405C" w:rsidRPr="00187BAA" w:rsidRDefault="007477C5" w:rsidP="007477C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477C5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449D31B6" w:rsidR="0049405C" w:rsidRPr="00187BAA" w:rsidRDefault="007477C5" w:rsidP="007477C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477C5">
              <w:rPr>
                <w:rFonts w:ascii="宋体" w:eastAsia="宋体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5D88FCFD" w:rsidR="0049405C" w:rsidRPr="00187BAA" w:rsidRDefault="007477C5" w:rsidP="007477C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477C5">
              <w:rPr>
                <w:rFonts w:ascii="宋体" w:eastAsia="宋体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B34FDB" w:rsidR="0049405C" w:rsidRPr="00187BAA" w:rsidRDefault="007477C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00B3E8E" wp14:editId="172D1EA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B5E68FF" w:rsidR="009465FB" w:rsidRPr="00187BAA" w:rsidRDefault="007477C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477C5">
              <w:rPr>
                <w:rFonts w:ascii="宋体" w:eastAsia="宋体" w:hAnsi="Times New Roman" w:hint="eastAsia"/>
                <w:color w:val="000000"/>
                <w:szCs w:val="21"/>
              </w:rPr>
              <w:t>甘燕律师的主要执业领域包括境内外证券发行与上市、投资并购及公司一般法律事务。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5A1C62" w14:textId="77777777" w:rsidR="007477C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6B6AD3B" w14:textId="77777777" w:rsidR="007477C5" w:rsidRDefault="007477C5" w:rsidP="007477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77C5">
        <w:rPr>
          <w:rFonts w:ascii="宋体" w:eastAsia="宋体" w:hAnsi="宋体" w:hint="eastAsia"/>
          <w:b/>
          <w:sz w:val="24"/>
        </w:rPr>
        <w:t>近期代理的主要案件</w:t>
      </w:r>
    </w:p>
    <w:p w14:paraId="5753014E" w14:textId="77777777" w:rsidR="007477C5" w:rsidRDefault="007477C5" w:rsidP="007477C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CFD37B1" w14:textId="77777777" w:rsidR="007477C5" w:rsidRDefault="007477C5" w:rsidP="007477C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代表中微公司（</w:t>
      </w:r>
      <w:r w:rsidRPr="007477C5">
        <w:rPr>
          <w:rFonts w:ascii="宋体" w:eastAsia="宋体" w:hAnsi="Times New Roman"/>
          <w:color w:val="000000"/>
        </w:rPr>
        <w:t>688012.SH）首次公开发行A股并在上交所科创板上市</w:t>
      </w:r>
    </w:p>
    <w:p w14:paraId="30E4909B" w14:textId="77777777" w:rsidR="007477C5" w:rsidRDefault="007477C5" w:rsidP="007477C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代表芯原股份（</w:t>
      </w:r>
      <w:r w:rsidRPr="007477C5">
        <w:rPr>
          <w:rFonts w:ascii="宋体" w:eastAsia="宋体" w:hAnsi="Times New Roman"/>
          <w:color w:val="000000"/>
        </w:rPr>
        <w:t>688521.SH）首次公开发行A股并在上交所科创板上市</w:t>
      </w:r>
    </w:p>
    <w:p w14:paraId="0DF362D5" w14:textId="77777777" w:rsidR="007477C5" w:rsidRDefault="007477C5" w:rsidP="007477C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代表保荐机构参与卓胜微（</w:t>
      </w:r>
      <w:r w:rsidRPr="007477C5">
        <w:rPr>
          <w:rFonts w:ascii="宋体" w:eastAsia="宋体" w:hAnsi="Times New Roman"/>
          <w:color w:val="000000"/>
        </w:rPr>
        <w:t>300782.SZ）首次公开发行A股并在深交所创业板上市</w:t>
      </w:r>
    </w:p>
    <w:p w14:paraId="29768988" w14:textId="77777777" w:rsidR="007477C5" w:rsidRDefault="007477C5" w:rsidP="007477C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代表凌霄泵业（</w:t>
      </w:r>
      <w:r w:rsidRPr="007477C5">
        <w:rPr>
          <w:rFonts w:ascii="宋体" w:eastAsia="宋体" w:hAnsi="Times New Roman"/>
          <w:color w:val="000000"/>
        </w:rPr>
        <w:t>002884.SZ）首次公开发行A股并在深交所中小板上市</w:t>
      </w:r>
    </w:p>
    <w:p w14:paraId="5FBD8127" w14:textId="77777777" w:rsidR="007477C5" w:rsidRDefault="007477C5" w:rsidP="007477C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代表合富中国首次公开发行</w:t>
      </w:r>
      <w:r w:rsidRPr="007477C5">
        <w:rPr>
          <w:rFonts w:ascii="宋体" w:eastAsia="宋体" w:hAnsi="Times New Roman"/>
          <w:color w:val="000000"/>
        </w:rPr>
        <w:t>A股并在上交所主板上市</w:t>
      </w:r>
    </w:p>
    <w:p w14:paraId="6FB1E9A7" w14:textId="77777777" w:rsidR="007477C5" w:rsidRDefault="007477C5" w:rsidP="007477C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代表药明康德（</w:t>
      </w:r>
      <w:r w:rsidRPr="007477C5">
        <w:rPr>
          <w:rFonts w:ascii="宋体" w:eastAsia="宋体" w:hAnsi="Times New Roman"/>
          <w:color w:val="000000"/>
        </w:rPr>
        <w:t>603259.SH/02359.HK）首次公开发行H股并在香港联交所主板上市</w:t>
      </w:r>
    </w:p>
    <w:p w14:paraId="167636B4" w14:textId="77777777" w:rsidR="007477C5" w:rsidRDefault="007477C5" w:rsidP="007477C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代表药明康德（</w:t>
      </w:r>
      <w:r w:rsidRPr="007477C5">
        <w:rPr>
          <w:rFonts w:ascii="宋体" w:eastAsia="宋体" w:hAnsi="Times New Roman"/>
          <w:color w:val="000000"/>
        </w:rPr>
        <w:t>603259.SH/02359.HK）非公开发行A股</w:t>
      </w:r>
    </w:p>
    <w:p w14:paraId="6DDA8F4F" w14:textId="77777777" w:rsidR="007477C5" w:rsidRDefault="007477C5" w:rsidP="007477C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代表药明康德（</w:t>
      </w:r>
      <w:r w:rsidRPr="007477C5">
        <w:rPr>
          <w:rFonts w:ascii="宋体" w:eastAsia="宋体" w:hAnsi="Times New Roman"/>
          <w:color w:val="000000"/>
        </w:rPr>
        <w:t>603259.SH/02359.HK）增发H股</w:t>
      </w:r>
    </w:p>
    <w:p w14:paraId="1E083004" w14:textId="77777777" w:rsidR="007477C5" w:rsidRDefault="007477C5" w:rsidP="007477C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代表深科技（</w:t>
      </w:r>
      <w:r w:rsidRPr="007477C5">
        <w:rPr>
          <w:rFonts w:ascii="宋体" w:eastAsia="宋体" w:hAnsi="Times New Roman"/>
          <w:color w:val="000000"/>
        </w:rPr>
        <w:t>000021.SZ）非公开发行A股</w:t>
      </w:r>
    </w:p>
    <w:p w14:paraId="537B3BF3" w14:textId="77777777" w:rsidR="007477C5" w:rsidRDefault="007477C5" w:rsidP="007477C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代表保荐机构参与卓胜微（</w:t>
      </w:r>
      <w:r w:rsidRPr="007477C5">
        <w:rPr>
          <w:rFonts w:ascii="宋体" w:eastAsia="宋体" w:hAnsi="Times New Roman"/>
          <w:color w:val="000000"/>
        </w:rPr>
        <w:t>300782.SZ）非公开发行A股</w:t>
      </w:r>
    </w:p>
    <w:p w14:paraId="762E43F2" w14:textId="77777777" w:rsidR="007477C5" w:rsidRDefault="007477C5" w:rsidP="007477C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代表药明康德（</w:t>
      </w:r>
      <w:r w:rsidRPr="007477C5">
        <w:rPr>
          <w:rFonts w:ascii="宋体" w:eastAsia="宋体" w:hAnsi="Times New Roman"/>
          <w:color w:val="000000"/>
        </w:rPr>
        <w:t>603259.SH/02359.HK）发行H股可转债</w:t>
      </w:r>
    </w:p>
    <w:p w14:paraId="69B28CF8" w14:textId="77777777" w:rsidR="007477C5" w:rsidRDefault="007477C5" w:rsidP="007477C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代表兵装集团（南方工业）发行公司债、可交换债</w:t>
      </w:r>
    </w:p>
    <w:p w14:paraId="0EF0CE35" w14:textId="77777777" w:rsidR="007477C5" w:rsidRDefault="007477C5" w:rsidP="007477C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代表中粮名庄荟参与其通过北京产权交易所进行股权融资</w:t>
      </w:r>
    </w:p>
    <w:p w14:paraId="0C2319CA" w14:textId="77777777" w:rsidR="007477C5" w:rsidRDefault="007477C5" w:rsidP="007477C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代表顺为资本领投的投资人团体投资珞石科技</w:t>
      </w:r>
    </w:p>
    <w:p w14:paraId="116E87F1" w14:textId="77777777" w:rsidR="007477C5" w:rsidRDefault="007477C5" w:rsidP="007477C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代表合富中国参与其上市前多轮股权融资的交易</w:t>
      </w:r>
    </w:p>
    <w:p w14:paraId="15258976" w14:textId="77777777" w:rsidR="007477C5" w:rsidRDefault="007477C5" w:rsidP="007477C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代表中微公司（</w:t>
      </w:r>
      <w:r w:rsidRPr="007477C5">
        <w:rPr>
          <w:rFonts w:ascii="宋体" w:eastAsia="宋体" w:hAnsi="Times New Roman"/>
          <w:color w:val="000000"/>
        </w:rPr>
        <w:t>688012.SH）参与其境内外架构调整</w:t>
      </w:r>
    </w:p>
    <w:p w14:paraId="25BE091C" w14:textId="77777777" w:rsidR="007477C5" w:rsidRDefault="007477C5" w:rsidP="007477C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代表中珠医疗（</w:t>
      </w:r>
      <w:r w:rsidRPr="007477C5">
        <w:rPr>
          <w:rFonts w:ascii="宋体" w:eastAsia="宋体" w:hAnsi="Times New Roman"/>
          <w:color w:val="000000"/>
        </w:rPr>
        <w:t>600568.SH）下属子公司蓝氧科技（834068）以发行股份方式收购四川汇诚医院管理有限公司</w:t>
      </w:r>
    </w:p>
    <w:p w14:paraId="64BB6B57" w14:textId="77777777" w:rsidR="007477C5" w:rsidRDefault="007477C5" w:rsidP="007477C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代表汉科环境（</w:t>
      </w:r>
      <w:r w:rsidRPr="007477C5">
        <w:rPr>
          <w:rFonts w:ascii="宋体" w:eastAsia="宋体" w:hAnsi="Times New Roman"/>
          <w:color w:val="000000"/>
        </w:rPr>
        <w:t>U9E.SEG）收购中国光大国际（00257.HK）旗下水务公司</w:t>
      </w:r>
    </w:p>
    <w:p w14:paraId="719B01A4" w14:textId="77777777" w:rsidR="007477C5" w:rsidRDefault="007477C5" w:rsidP="007477C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代表顺丰速运引入招商局集团、中信资本、元禾控股等投资机构的首轮私募融资</w:t>
      </w:r>
    </w:p>
    <w:p w14:paraId="45FAE4A9" w14:textId="77777777" w:rsidR="007477C5" w:rsidRDefault="007477C5" w:rsidP="007477C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代表北京信托设立若干集合信托计划及单一信托</w:t>
      </w:r>
    </w:p>
    <w:p w14:paraId="7D2EAE5F" w14:textId="77777777" w:rsidR="007477C5" w:rsidRDefault="007477C5" w:rsidP="007477C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芯原股份（</w:t>
      </w:r>
      <w:r w:rsidRPr="007477C5">
        <w:rPr>
          <w:rFonts w:ascii="宋体" w:eastAsia="宋体" w:hAnsi="Times New Roman"/>
          <w:color w:val="000000"/>
        </w:rPr>
        <w:t>688521.SH）、药明康德（603259.SH/02359.HK）等公司常年法律顾问</w:t>
      </w:r>
    </w:p>
    <w:p w14:paraId="7F2C0F68" w14:textId="77777777" w:rsidR="007477C5" w:rsidRDefault="007477C5" w:rsidP="007477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77C5">
        <w:rPr>
          <w:rFonts w:ascii="宋体" w:eastAsia="宋体" w:hAnsi="宋体" w:hint="eastAsia"/>
          <w:b/>
          <w:sz w:val="24"/>
        </w:rPr>
        <w:t>教育背景</w:t>
      </w:r>
    </w:p>
    <w:p w14:paraId="18A46E93" w14:textId="77777777" w:rsidR="007477C5" w:rsidRDefault="007477C5" w:rsidP="007477C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中国政法大学民商经济法学院，法学硕士</w:t>
      </w:r>
    </w:p>
    <w:p w14:paraId="665FB10E" w14:textId="77777777" w:rsidR="007477C5" w:rsidRDefault="007477C5" w:rsidP="007477C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中国政法大学民商经济法学院，法学学士</w:t>
      </w:r>
    </w:p>
    <w:p w14:paraId="18493CAE" w14:textId="77777777" w:rsidR="007477C5" w:rsidRDefault="007477C5" w:rsidP="007477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77C5">
        <w:rPr>
          <w:rFonts w:ascii="宋体" w:eastAsia="宋体" w:hAnsi="宋体" w:hint="eastAsia"/>
          <w:b/>
          <w:sz w:val="24"/>
        </w:rPr>
        <w:t>执业资格</w:t>
      </w:r>
    </w:p>
    <w:p w14:paraId="51545C0D" w14:textId="77777777" w:rsidR="007477C5" w:rsidRDefault="007477C5" w:rsidP="007477C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中华人民共和国执业律师</w:t>
      </w:r>
    </w:p>
    <w:p w14:paraId="5D02A683" w14:textId="77777777" w:rsidR="007477C5" w:rsidRDefault="007477C5" w:rsidP="007477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77C5">
        <w:rPr>
          <w:rFonts w:ascii="宋体" w:eastAsia="宋体" w:hAnsi="宋体" w:hint="eastAsia"/>
          <w:b/>
          <w:sz w:val="24"/>
        </w:rPr>
        <w:t>职业背景</w:t>
      </w:r>
    </w:p>
    <w:p w14:paraId="4F0A196B" w14:textId="228B5C0F" w:rsidR="00A46A04" w:rsidRPr="007477C5" w:rsidRDefault="007477C5" w:rsidP="007477C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77C5">
        <w:rPr>
          <w:rFonts w:ascii="宋体" w:eastAsia="宋体" w:hAnsi="Times New Roman" w:hint="eastAsia"/>
          <w:color w:val="000000"/>
        </w:rPr>
        <w:t>甘律师于</w:t>
      </w:r>
      <w:r w:rsidRPr="007477C5">
        <w:rPr>
          <w:rFonts w:ascii="宋体" w:eastAsia="宋体" w:hAnsi="Times New Roman"/>
          <w:color w:val="000000"/>
        </w:rPr>
        <w:t>2018年加入方达律师事务所。加入方达前，甘律师曾在其他领先的中国律师事务所工作。</w:t>
      </w:r>
    </w:p>
    <w:sectPr w:rsidR="00A46A04" w:rsidRPr="007477C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394C"/>
    <w:multiLevelType w:val="singleLevel"/>
    <w:tmpl w:val="AEACA3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A55E8F"/>
    <w:multiLevelType w:val="singleLevel"/>
    <w:tmpl w:val="DC0A0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306764"/>
    <w:multiLevelType w:val="singleLevel"/>
    <w:tmpl w:val="B5F8A2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2304AE"/>
    <w:multiLevelType w:val="singleLevel"/>
    <w:tmpl w:val="6798A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7F2CBB"/>
    <w:multiLevelType w:val="singleLevel"/>
    <w:tmpl w:val="2ED61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31288C"/>
    <w:multiLevelType w:val="singleLevel"/>
    <w:tmpl w:val="22545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7624BA"/>
    <w:multiLevelType w:val="singleLevel"/>
    <w:tmpl w:val="5C06E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C07A8A"/>
    <w:multiLevelType w:val="singleLevel"/>
    <w:tmpl w:val="AEACA3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40435E"/>
    <w:multiLevelType w:val="singleLevel"/>
    <w:tmpl w:val="898E8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E7421B"/>
    <w:multiLevelType w:val="singleLevel"/>
    <w:tmpl w:val="6A6C2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4F3CDA"/>
    <w:multiLevelType w:val="singleLevel"/>
    <w:tmpl w:val="E8466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4A7FFB"/>
    <w:multiLevelType w:val="singleLevel"/>
    <w:tmpl w:val="45F654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228754B"/>
    <w:multiLevelType w:val="singleLevel"/>
    <w:tmpl w:val="A9884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066423"/>
    <w:multiLevelType w:val="singleLevel"/>
    <w:tmpl w:val="64C2F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9B2FE6"/>
    <w:multiLevelType w:val="singleLevel"/>
    <w:tmpl w:val="94E0E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DF17C36"/>
    <w:multiLevelType w:val="singleLevel"/>
    <w:tmpl w:val="B902F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2A0BE2"/>
    <w:multiLevelType w:val="singleLevel"/>
    <w:tmpl w:val="6F6CE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044858"/>
    <w:multiLevelType w:val="singleLevel"/>
    <w:tmpl w:val="E692F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F15D49"/>
    <w:multiLevelType w:val="singleLevel"/>
    <w:tmpl w:val="D89EC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A23B71"/>
    <w:multiLevelType w:val="singleLevel"/>
    <w:tmpl w:val="615C8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515F8F"/>
    <w:multiLevelType w:val="singleLevel"/>
    <w:tmpl w:val="40F0A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F6675E"/>
    <w:multiLevelType w:val="singleLevel"/>
    <w:tmpl w:val="6B24E3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C66914"/>
    <w:multiLevelType w:val="singleLevel"/>
    <w:tmpl w:val="6DCEF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764938"/>
    <w:multiLevelType w:val="singleLevel"/>
    <w:tmpl w:val="48208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F4386B"/>
    <w:multiLevelType w:val="singleLevel"/>
    <w:tmpl w:val="595A3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ED0612"/>
    <w:multiLevelType w:val="singleLevel"/>
    <w:tmpl w:val="E660A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27"/>
  </w:num>
  <w:num w:numId="4">
    <w:abstractNumId w:val="24"/>
  </w:num>
  <w:num w:numId="5">
    <w:abstractNumId w:val="25"/>
  </w:num>
  <w:num w:numId="6">
    <w:abstractNumId w:val="23"/>
  </w:num>
  <w:num w:numId="7">
    <w:abstractNumId w:val="17"/>
  </w:num>
  <w:num w:numId="8">
    <w:abstractNumId w:val="2"/>
  </w:num>
  <w:num w:numId="9">
    <w:abstractNumId w:val="14"/>
  </w:num>
  <w:num w:numId="10">
    <w:abstractNumId w:val="6"/>
  </w:num>
  <w:num w:numId="11">
    <w:abstractNumId w:val="3"/>
  </w:num>
  <w:num w:numId="12">
    <w:abstractNumId w:val="16"/>
  </w:num>
  <w:num w:numId="13">
    <w:abstractNumId w:val="5"/>
  </w:num>
  <w:num w:numId="14">
    <w:abstractNumId w:val="18"/>
  </w:num>
  <w:num w:numId="15">
    <w:abstractNumId w:val="21"/>
  </w:num>
  <w:num w:numId="16">
    <w:abstractNumId w:val="9"/>
  </w:num>
  <w:num w:numId="17">
    <w:abstractNumId w:val="10"/>
  </w:num>
  <w:num w:numId="18">
    <w:abstractNumId w:val="19"/>
  </w:num>
  <w:num w:numId="19">
    <w:abstractNumId w:val="26"/>
  </w:num>
  <w:num w:numId="20">
    <w:abstractNumId w:val="11"/>
  </w:num>
  <w:num w:numId="21">
    <w:abstractNumId w:val="4"/>
  </w:num>
  <w:num w:numId="22">
    <w:abstractNumId w:val="20"/>
  </w:num>
  <w:num w:numId="23">
    <w:abstractNumId w:val="13"/>
  </w:num>
  <w:num w:numId="24">
    <w:abstractNumId w:val="8"/>
  </w:num>
  <w:num w:numId="25">
    <w:abstractNumId w:val="1"/>
  </w:num>
  <w:num w:numId="26">
    <w:abstractNumId w:val="22"/>
  </w:num>
  <w:num w:numId="27">
    <w:abstractNumId w:val="0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477C5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477C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477C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9047E5-9FA4-42C2-B51F-7145009A7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2026-10-20T01:40:00Z</dcterms:created>
  <dcterms:modified xsi:type="dcterms:W3CDTF">2026-10-20T01:40:00Z</dcterms:modified>
</cp:coreProperties>
</file>