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1BDAF72" w:rsidR="0049405C" w:rsidRPr="00187BAA" w:rsidRDefault="00057FBB" w:rsidP="00057FBB">
            <w:pPr>
              <w:spacing w:line="720" w:lineRule="auto"/>
              <w:rPr>
                <w:rFonts w:ascii="宋体" w:eastAsia="宋体" w:hAnsi="宋体"/>
                <w:color w:val="545551"/>
              </w:rPr>
            </w:pPr>
            <w:bookmarkStart w:id="0" w:name="xingming"/>
            <w:bookmarkStart w:id="1" w:name="_GoBack"/>
            <w:bookmarkEnd w:id="1"/>
            <w:r w:rsidRPr="00057FBB">
              <w:rPr>
                <w:rFonts w:ascii="宋体" w:eastAsia="宋体" w:hAnsi="Times New Roman" w:hint="eastAsia"/>
                <w:b/>
                <w:color w:val="000000"/>
                <w:sz w:val="48"/>
              </w:rPr>
              <w:t>刘一苇</w:t>
            </w:r>
            <w:bookmarkEnd w:id="0"/>
          </w:p>
          <w:p w14:paraId="706EB16B" w14:textId="6B8417F8" w:rsidR="0049405C" w:rsidRPr="00187BAA" w:rsidRDefault="00057FBB" w:rsidP="00057FBB">
            <w:pPr>
              <w:spacing w:line="360" w:lineRule="auto"/>
              <w:rPr>
                <w:rFonts w:ascii="宋体" w:eastAsia="宋体" w:hAnsi="宋体"/>
                <w:b/>
                <w:bCs/>
                <w:color w:val="545551"/>
              </w:rPr>
            </w:pPr>
            <w:bookmarkStart w:id="2" w:name="didian"/>
            <w:r w:rsidRPr="00057FBB">
              <w:rPr>
                <w:rFonts w:ascii="宋体" w:eastAsia="宋体" w:hAnsi="Times New Roman" w:hint="eastAsia"/>
                <w:b/>
                <w:bCs/>
                <w:color w:val="000000"/>
              </w:rPr>
              <w:t>合伙人·上海</w:t>
            </w:r>
            <w:r w:rsidRPr="00057FBB">
              <w:rPr>
                <w:rFonts w:ascii="宋体" w:eastAsia="宋体" w:hAnsi="Times New Roman"/>
                <w:b/>
                <w:bCs/>
                <w:color w:val="000000"/>
              </w:rPr>
              <w:t xml:space="preserve"> | 南京</w:t>
            </w:r>
            <w:bookmarkEnd w:id="2"/>
          </w:p>
          <w:p w14:paraId="6199424A" w14:textId="45987C61" w:rsidR="0049405C" w:rsidRPr="00187BAA" w:rsidRDefault="00057FBB" w:rsidP="00057FBB">
            <w:pPr>
              <w:spacing w:line="360" w:lineRule="auto"/>
              <w:rPr>
                <w:rFonts w:ascii="宋体" w:eastAsia="宋体" w:hAnsi="宋体"/>
                <w:color w:val="545551"/>
              </w:rPr>
            </w:pPr>
            <w:bookmarkStart w:id="3" w:name="dianhua"/>
            <w:r w:rsidRPr="00057FBB">
              <w:rPr>
                <w:rFonts w:ascii="宋体" w:eastAsia="宋体" w:hAnsi="Times New Roman"/>
                <w:color w:val="000000"/>
              </w:rPr>
              <w:t xml:space="preserve">+86 13817979394 </w:t>
            </w:r>
            <w:bookmarkEnd w:id="3"/>
          </w:p>
          <w:p w14:paraId="4F910ACA" w14:textId="05E875AD" w:rsidR="0049405C" w:rsidRPr="00187BAA" w:rsidRDefault="00057FBB" w:rsidP="00057FBB">
            <w:pPr>
              <w:spacing w:line="360" w:lineRule="auto"/>
              <w:rPr>
                <w:rFonts w:ascii="宋体" w:eastAsia="宋体" w:hAnsi="宋体"/>
                <w:color w:val="000000"/>
              </w:rPr>
            </w:pPr>
            <w:bookmarkStart w:id="4" w:name="youxiang"/>
            <w:r w:rsidRPr="00057FBB">
              <w:rPr>
                <w:rFonts w:ascii="宋体" w:eastAsia="宋体" w:hAnsi="Times New Roman"/>
                <w:color w:val="000000"/>
              </w:rPr>
              <w:t>yliu@fangdalaw.com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A3698D6" w:rsidR="0049405C" w:rsidRPr="00187BAA" w:rsidRDefault="00057FB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B921280" wp14:editId="5D41252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F7188F" w:rsidR="009465FB" w:rsidRPr="00187BAA" w:rsidRDefault="00057FBB" w:rsidP="007177F3">
            <w:pPr>
              <w:rPr>
                <w:rFonts w:ascii="宋体" w:eastAsia="宋体" w:hAnsi="宋体"/>
                <w:color w:val="000000"/>
                <w:szCs w:val="21"/>
              </w:rPr>
            </w:pPr>
            <w:bookmarkStart w:id="6" w:name="zhiyelingyu"/>
            <w:r w:rsidRPr="00057FBB">
              <w:rPr>
                <w:rFonts w:ascii="宋体" w:eastAsia="宋体" w:hAnsi="Times New Roman" w:hint="eastAsia"/>
                <w:color w:val="000000"/>
                <w:szCs w:val="21"/>
              </w:rPr>
              <w:t>刘一苇律师的主要执业领域为资本市场、收购兼并、私募融资及一般公司业务。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12E888" w14:textId="77777777" w:rsidR="00057FB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26B979" w14:textId="77777777" w:rsidR="00057FBB" w:rsidRDefault="00057FBB" w:rsidP="00057FBB">
      <w:pPr>
        <w:pStyle w:val="af5"/>
        <w:spacing w:after="0" w:line="480" w:lineRule="auto"/>
        <w:rPr>
          <w:rFonts w:ascii="宋体" w:eastAsia="宋体" w:hAnsi="宋体"/>
          <w:b/>
          <w:sz w:val="24"/>
        </w:rPr>
      </w:pPr>
      <w:r w:rsidRPr="00057FBB">
        <w:rPr>
          <w:rFonts w:ascii="宋体" w:eastAsia="宋体" w:hAnsi="宋体" w:hint="eastAsia"/>
          <w:b/>
          <w:sz w:val="24"/>
        </w:rPr>
        <w:t>近期代理的主要案件</w:t>
      </w:r>
    </w:p>
    <w:p w14:paraId="698C18F2" w14:textId="77777777" w:rsidR="00057FBB" w:rsidRDefault="00057FBB" w:rsidP="00057FBB">
      <w:pPr>
        <w:pStyle w:val="af5"/>
        <w:spacing w:before="120"/>
        <w:rPr>
          <w:rFonts w:ascii="宋体" w:eastAsia="宋体" w:hAnsi="Times New Roman"/>
          <w:color w:val="000000"/>
        </w:rPr>
      </w:pPr>
      <w:r w:rsidRPr="00057FBB">
        <w:rPr>
          <w:rFonts w:ascii="宋体" w:eastAsia="宋体" w:hAnsi="Times New Roman" w:hint="eastAsia"/>
          <w:color w:val="000000"/>
        </w:rPr>
        <w:t>资本市场</w:t>
      </w:r>
    </w:p>
    <w:p w14:paraId="40521E06" w14:textId="77777777" w:rsidR="00057FBB" w:rsidRDefault="00057FBB" w:rsidP="00057FBB">
      <w:pPr>
        <w:pStyle w:val="af5"/>
        <w:numPr>
          <w:ilvl w:val="0"/>
          <w:numId w:val="4"/>
        </w:numPr>
        <w:spacing w:before="120"/>
        <w:ind w:left="690" w:hanging="240"/>
        <w:rPr>
          <w:rFonts w:ascii="宋体" w:eastAsia="宋体" w:hAnsi="Times New Roman"/>
          <w:color w:val="000000"/>
        </w:rPr>
      </w:pPr>
      <w:r w:rsidRPr="00057FBB">
        <w:rPr>
          <w:rFonts w:ascii="宋体" w:eastAsia="宋体" w:hAnsi="Times New Roman" w:hint="eastAsia"/>
          <w:color w:val="000000"/>
        </w:rPr>
        <w:t>代表虹软科技（</w:t>
      </w:r>
      <w:r w:rsidRPr="00057FBB">
        <w:rPr>
          <w:rFonts w:ascii="宋体" w:eastAsia="宋体" w:hAnsi="Times New Roman"/>
          <w:color w:val="000000"/>
        </w:rPr>
        <w:t>688088.SH，第一批科创板企业，已完成）、华润微电子（688088.SH， 第一家红筹架构发行A股企业，承销商律师，已完成）、复旦张江（已通过上市委审核，注册阶段）、三生国健（承销商律师，已反馈）、中芯国际（第一家境外上市公司发行A股企业，承销商律师，进行中）为其首次公开发行A股并科创板上市提供法律服务</w:t>
      </w:r>
    </w:p>
    <w:p w14:paraId="41A6AF6A" w14:textId="77777777" w:rsidR="00057FBB" w:rsidRDefault="00057FBB" w:rsidP="00057FBB">
      <w:pPr>
        <w:pStyle w:val="af5"/>
        <w:numPr>
          <w:ilvl w:val="0"/>
          <w:numId w:val="5"/>
        </w:numPr>
        <w:spacing w:before="120"/>
        <w:ind w:left="690" w:hanging="240"/>
        <w:rPr>
          <w:rFonts w:ascii="宋体" w:eastAsia="宋体" w:hAnsi="Times New Roman"/>
          <w:color w:val="000000"/>
        </w:rPr>
      </w:pPr>
      <w:r w:rsidRPr="00057FBB">
        <w:rPr>
          <w:rFonts w:ascii="宋体" w:eastAsia="宋体" w:hAnsi="Times New Roman" w:hint="eastAsia"/>
          <w:color w:val="000000"/>
        </w:rPr>
        <w:t>代表分众传媒（</w:t>
      </w:r>
      <w:r w:rsidRPr="00057FBB">
        <w:rPr>
          <w:rFonts w:ascii="宋体" w:eastAsia="宋体" w:hAnsi="Times New Roman"/>
          <w:color w:val="000000"/>
        </w:rPr>
        <w:t>002027.SZ），为其借壳上市提供法律服务</w:t>
      </w:r>
    </w:p>
    <w:p w14:paraId="59F939C8" w14:textId="77777777" w:rsidR="00057FBB" w:rsidRDefault="00057FBB" w:rsidP="00057FBB">
      <w:pPr>
        <w:pStyle w:val="af5"/>
        <w:numPr>
          <w:ilvl w:val="0"/>
          <w:numId w:val="6"/>
        </w:numPr>
        <w:spacing w:before="120"/>
        <w:ind w:left="690" w:hanging="240"/>
        <w:rPr>
          <w:rFonts w:ascii="宋体" w:eastAsia="宋体" w:hAnsi="Times New Roman"/>
          <w:color w:val="000000"/>
        </w:rPr>
      </w:pPr>
      <w:r w:rsidRPr="00057FBB">
        <w:rPr>
          <w:rFonts w:ascii="宋体" w:eastAsia="宋体" w:hAnsi="Times New Roman" w:hint="eastAsia"/>
          <w:color w:val="000000"/>
        </w:rPr>
        <w:t>代表新泉股份（</w:t>
      </w:r>
      <w:r w:rsidRPr="00057FBB">
        <w:rPr>
          <w:rFonts w:ascii="宋体" w:eastAsia="宋体" w:hAnsi="Times New Roman"/>
          <w:color w:val="000000"/>
        </w:rPr>
        <w:t>603179.SH），为其首次公开发行A股并上市提供法律服务</w:t>
      </w:r>
    </w:p>
    <w:p w14:paraId="01C293D4" w14:textId="77777777" w:rsidR="00057FBB" w:rsidRDefault="00057FBB" w:rsidP="00057FBB">
      <w:pPr>
        <w:pStyle w:val="af5"/>
        <w:numPr>
          <w:ilvl w:val="0"/>
          <w:numId w:val="7"/>
        </w:numPr>
        <w:spacing w:before="120"/>
        <w:ind w:left="690" w:hanging="240"/>
        <w:rPr>
          <w:rFonts w:ascii="宋体" w:eastAsia="宋体" w:hAnsi="Times New Roman"/>
          <w:color w:val="000000"/>
        </w:rPr>
      </w:pPr>
      <w:r w:rsidRPr="00057FBB">
        <w:rPr>
          <w:rFonts w:ascii="宋体" w:eastAsia="宋体" w:hAnsi="Times New Roman" w:hint="eastAsia"/>
          <w:color w:val="000000"/>
        </w:rPr>
        <w:t>代表平安资管及资管计划之全体受益人为其京沪高铁（</w:t>
      </w:r>
      <w:r w:rsidRPr="00057FBB">
        <w:rPr>
          <w:rFonts w:ascii="宋体" w:eastAsia="宋体" w:hAnsi="Times New Roman"/>
          <w:color w:val="000000"/>
        </w:rPr>
        <w:t>601816.SH）投资项目提供法律建议</w:t>
      </w:r>
    </w:p>
    <w:p w14:paraId="0B98D1A1" w14:textId="77777777" w:rsidR="00057FBB" w:rsidRDefault="00057FBB" w:rsidP="00057FBB">
      <w:pPr>
        <w:pStyle w:val="af5"/>
        <w:numPr>
          <w:ilvl w:val="0"/>
          <w:numId w:val="8"/>
        </w:numPr>
        <w:spacing w:before="120"/>
        <w:ind w:left="690" w:hanging="240"/>
        <w:rPr>
          <w:rFonts w:ascii="宋体" w:eastAsia="宋体" w:hAnsi="Times New Roman"/>
          <w:color w:val="000000"/>
        </w:rPr>
      </w:pPr>
      <w:r w:rsidRPr="00057FBB">
        <w:rPr>
          <w:rFonts w:ascii="宋体" w:eastAsia="宋体" w:hAnsi="Times New Roman" w:hint="eastAsia"/>
          <w:color w:val="000000"/>
        </w:rPr>
        <w:t>代表摩根斯坦利华鑫证券为其作为东电</w:t>
      </w:r>
      <w:r w:rsidRPr="00057FBB">
        <w:rPr>
          <w:rFonts w:ascii="宋体" w:eastAsia="宋体" w:hAnsi="Times New Roman"/>
          <w:color w:val="000000"/>
        </w:rPr>
        <w:t>B的财务顾问就浙能电力（600023.SH）换股吸收合并东电B并首次公开发行上市提供法律服务</w:t>
      </w:r>
    </w:p>
    <w:p w14:paraId="6ADBF983" w14:textId="77777777" w:rsidR="00057FBB" w:rsidRDefault="00057FBB" w:rsidP="00057FBB">
      <w:pPr>
        <w:pStyle w:val="af5"/>
        <w:numPr>
          <w:ilvl w:val="0"/>
          <w:numId w:val="9"/>
        </w:numPr>
        <w:spacing w:before="120"/>
        <w:ind w:left="690" w:hanging="240"/>
        <w:rPr>
          <w:rFonts w:ascii="宋体" w:eastAsia="宋体" w:hAnsi="Times New Roman"/>
          <w:color w:val="000000"/>
        </w:rPr>
      </w:pPr>
      <w:r w:rsidRPr="00057FBB">
        <w:rPr>
          <w:rFonts w:ascii="宋体" w:eastAsia="宋体" w:hAnsi="Times New Roman" w:hint="eastAsia"/>
          <w:color w:val="000000"/>
        </w:rPr>
        <w:t>代表海立股份（</w:t>
      </w:r>
      <w:r w:rsidRPr="00057FBB">
        <w:rPr>
          <w:rFonts w:ascii="宋体" w:eastAsia="宋体" w:hAnsi="Times New Roman"/>
          <w:color w:val="000000"/>
        </w:rPr>
        <w:t>600619.SH）为其非公开发行股份、发行公司债、发行股份购买杭州富生电器100%股权、发行超短期融资券以及2020年发行可转债提供法律服务</w:t>
      </w:r>
    </w:p>
    <w:p w14:paraId="637F6EE5" w14:textId="77777777" w:rsidR="00057FBB" w:rsidRDefault="00057FBB" w:rsidP="00057FBB">
      <w:pPr>
        <w:pStyle w:val="af5"/>
        <w:numPr>
          <w:ilvl w:val="0"/>
          <w:numId w:val="10"/>
        </w:numPr>
        <w:spacing w:before="120"/>
        <w:ind w:left="690" w:hanging="240"/>
        <w:rPr>
          <w:rFonts w:ascii="宋体" w:eastAsia="宋体" w:hAnsi="Times New Roman"/>
          <w:color w:val="000000"/>
        </w:rPr>
      </w:pPr>
      <w:r w:rsidRPr="00057FBB">
        <w:rPr>
          <w:rFonts w:ascii="宋体" w:eastAsia="宋体" w:hAnsi="Times New Roman" w:hint="eastAsia"/>
          <w:color w:val="000000"/>
        </w:rPr>
        <w:t>代表上海同盛投资（集团）有限公司为上港集团（</w:t>
      </w:r>
      <w:r w:rsidRPr="00057FBB">
        <w:rPr>
          <w:rFonts w:ascii="宋体" w:eastAsia="宋体" w:hAnsi="Times New Roman"/>
          <w:color w:val="000000"/>
        </w:rPr>
        <w:t>600018.SH）对其非公开发行股份并申请豁免要约收购提供法律服务</w:t>
      </w:r>
    </w:p>
    <w:p w14:paraId="2BBC13AE" w14:textId="77777777" w:rsidR="00057FBB" w:rsidRDefault="00057FBB" w:rsidP="00057FBB">
      <w:pPr>
        <w:pStyle w:val="af5"/>
        <w:numPr>
          <w:ilvl w:val="0"/>
          <w:numId w:val="11"/>
        </w:numPr>
        <w:spacing w:before="120"/>
        <w:ind w:left="690" w:hanging="240"/>
        <w:rPr>
          <w:rFonts w:ascii="宋体" w:eastAsia="宋体" w:hAnsi="Times New Roman"/>
          <w:color w:val="000000"/>
        </w:rPr>
      </w:pPr>
      <w:r w:rsidRPr="00057FBB">
        <w:rPr>
          <w:rFonts w:ascii="宋体" w:eastAsia="宋体" w:hAnsi="Times New Roman" w:hint="eastAsia"/>
          <w:color w:val="000000"/>
        </w:rPr>
        <w:t>代表中信证券为宝钢股份（</w:t>
      </w:r>
      <w:r w:rsidRPr="00057FBB">
        <w:rPr>
          <w:rFonts w:ascii="宋体" w:eastAsia="宋体" w:hAnsi="Times New Roman"/>
          <w:color w:val="000000"/>
        </w:rPr>
        <w:t>600019.SH）发行可分离交易公司债券提供法律服务</w:t>
      </w:r>
    </w:p>
    <w:p w14:paraId="7286043C" w14:textId="77777777" w:rsidR="00057FBB" w:rsidRDefault="00057FBB" w:rsidP="00057FBB">
      <w:pPr>
        <w:pStyle w:val="af5"/>
        <w:numPr>
          <w:ilvl w:val="0"/>
          <w:numId w:val="12"/>
        </w:numPr>
        <w:spacing w:before="120"/>
        <w:ind w:left="690" w:hanging="240"/>
        <w:rPr>
          <w:rFonts w:ascii="宋体" w:eastAsia="宋体" w:hAnsi="Times New Roman"/>
          <w:color w:val="000000"/>
        </w:rPr>
      </w:pPr>
      <w:r w:rsidRPr="00057FBB">
        <w:rPr>
          <w:rFonts w:ascii="宋体" w:eastAsia="宋体" w:hAnsi="Times New Roman" w:hint="eastAsia"/>
          <w:color w:val="000000"/>
        </w:rPr>
        <w:t>代表大生农业金融为其</w:t>
      </w:r>
      <w:r w:rsidRPr="00057FBB">
        <w:rPr>
          <w:rFonts w:ascii="宋体" w:eastAsia="宋体" w:hAnsi="Times New Roman"/>
          <w:color w:val="000000"/>
        </w:rPr>
        <w:t>2015年H股及内资股供股、2016年配售H股提供法律服务</w:t>
      </w:r>
    </w:p>
    <w:p w14:paraId="64B358CA" w14:textId="77777777" w:rsidR="00057FBB" w:rsidRDefault="00057FBB" w:rsidP="00057FBB">
      <w:pPr>
        <w:pStyle w:val="af5"/>
        <w:numPr>
          <w:ilvl w:val="0"/>
          <w:numId w:val="13"/>
        </w:numPr>
        <w:spacing w:before="120"/>
        <w:ind w:left="690" w:hanging="240"/>
        <w:rPr>
          <w:rFonts w:ascii="宋体" w:eastAsia="宋体" w:hAnsi="Times New Roman"/>
          <w:color w:val="000000"/>
        </w:rPr>
      </w:pPr>
      <w:r w:rsidRPr="00057FBB">
        <w:rPr>
          <w:rFonts w:ascii="宋体" w:eastAsia="宋体" w:hAnsi="Times New Roman" w:hint="eastAsia"/>
          <w:color w:val="000000"/>
        </w:rPr>
        <w:t>代表上海复旦张江生物医药股份有限公司为其增发</w:t>
      </w:r>
      <w:r w:rsidRPr="00057FBB">
        <w:rPr>
          <w:rFonts w:ascii="宋体" w:eastAsia="宋体" w:hAnsi="Times New Roman"/>
          <w:color w:val="000000"/>
        </w:rPr>
        <w:t>H股以及创业板转主板上市提供法律服务</w:t>
      </w:r>
    </w:p>
    <w:p w14:paraId="77DD0AFA" w14:textId="77777777" w:rsidR="00057FBB" w:rsidRDefault="00057FBB" w:rsidP="00057FBB">
      <w:pPr>
        <w:pStyle w:val="af5"/>
        <w:numPr>
          <w:ilvl w:val="0"/>
          <w:numId w:val="14"/>
        </w:numPr>
        <w:spacing w:before="120"/>
        <w:ind w:left="690" w:hanging="240"/>
        <w:rPr>
          <w:rFonts w:ascii="宋体" w:eastAsia="宋体" w:hAnsi="Times New Roman"/>
          <w:color w:val="000000"/>
        </w:rPr>
      </w:pPr>
      <w:r w:rsidRPr="00057FBB">
        <w:rPr>
          <w:rFonts w:ascii="宋体" w:eastAsia="宋体" w:hAnsi="Times New Roman" w:hint="eastAsia"/>
          <w:color w:val="000000"/>
        </w:rPr>
        <w:t>代表</w:t>
      </w:r>
      <w:r w:rsidRPr="00057FBB">
        <w:rPr>
          <w:rFonts w:ascii="宋体" w:eastAsia="宋体" w:hAnsi="Times New Roman"/>
          <w:color w:val="000000"/>
        </w:rPr>
        <w:t>DBS为First Sponsor Group Limited2014年在新加坡上市提供法律服务</w:t>
      </w:r>
    </w:p>
    <w:p w14:paraId="5208E896" w14:textId="77777777" w:rsidR="00057FBB" w:rsidRDefault="00057FBB" w:rsidP="00057FBB">
      <w:pPr>
        <w:pStyle w:val="af5"/>
        <w:numPr>
          <w:ilvl w:val="0"/>
          <w:numId w:val="15"/>
        </w:numPr>
        <w:spacing w:before="120"/>
        <w:ind w:left="690" w:hanging="240"/>
        <w:rPr>
          <w:rFonts w:ascii="宋体" w:eastAsia="宋体" w:hAnsi="Times New Roman"/>
          <w:color w:val="000000"/>
        </w:rPr>
      </w:pPr>
      <w:r w:rsidRPr="00057FBB">
        <w:rPr>
          <w:rFonts w:ascii="宋体" w:eastAsia="宋体" w:hAnsi="Times New Roman" w:hint="eastAsia"/>
          <w:color w:val="000000"/>
        </w:rPr>
        <w:t>代表</w:t>
      </w:r>
      <w:r w:rsidRPr="00057FBB">
        <w:rPr>
          <w:rFonts w:ascii="宋体" w:eastAsia="宋体" w:hAnsi="Times New Roman"/>
          <w:color w:val="000000"/>
        </w:rPr>
        <w:t>Focus Media Holding Limited为其美国纳斯达克上市和2010年后续融资提供法律服务</w:t>
      </w:r>
    </w:p>
    <w:p w14:paraId="6973CBC9" w14:textId="77777777" w:rsidR="00057FBB" w:rsidRDefault="00057FBB" w:rsidP="00057FBB">
      <w:pPr>
        <w:pStyle w:val="af5"/>
        <w:numPr>
          <w:ilvl w:val="0"/>
          <w:numId w:val="16"/>
        </w:numPr>
        <w:spacing w:before="120"/>
        <w:ind w:left="690" w:hanging="240"/>
        <w:rPr>
          <w:rFonts w:ascii="宋体" w:eastAsia="宋体" w:hAnsi="Times New Roman"/>
          <w:color w:val="000000"/>
        </w:rPr>
      </w:pPr>
      <w:r w:rsidRPr="00057FBB">
        <w:rPr>
          <w:rFonts w:ascii="宋体" w:eastAsia="宋体" w:hAnsi="Times New Roman" w:hint="eastAsia"/>
          <w:color w:val="000000"/>
        </w:rPr>
        <w:t>代表</w:t>
      </w:r>
      <w:r w:rsidRPr="00057FBB">
        <w:rPr>
          <w:rFonts w:ascii="宋体" w:eastAsia="宋体" w:hAnsi="Times New Roman"/>
          <w:color w:val="000000"/>
        </w:rPr>
        <w:t>MERRILL LYNCH以及CREDIT SUISSE为Country Style Cooking Restaurant Chain Co.， Ltd.在纽约证券交易所上市提供法律服务</w:t>
      </w:r>
    </w:p>
    <w:p w14:paraId="009106E0" w14:textId="77777777" w:rsidR="00057FBB" w:rsidRDefault="00057FBB" w:rsidP="00057FBB">
      <w:pPr>
        <w:pStyle w:val="af5"/>
        <w:numPr>
          <w:ilvl w:val="0"/>
          <w:numId w:val="17"/>
        </w:numPr>
        <w:spacing w:before="120"/>
        <w:ind w:left="690" w:hanging="240"/>
        <w:rPr>
          <w:rFonts w:ascii="宋体" w:eastAsia="宋体" w:hAnsi="Times New Roman"/>
          <w:color w:val="000000"/>
        </w:rPr>
      </w:pPr>
      <w:r w:rsidRPr="00057FBB">
        <w:rPr>
          <w:rFonts w:ascii="宋体" w:eastAsia="宋体" w:hAnsi="Times New Roman" w:hint="eastAsia"/>
          <w:color w:val="000000"/>
        </w:rPr>
        <w:t>代表阿里巴巴网络有限公司为其在香港联合交易所主板上市提供法律服务</w:t>
      </w:r>
    </w:p>
    <w:p w14:paraId="0B38D2BE" w14:textId="77777777" w:rsidR="00057FBB" w:rsidRDefault="00057FBB" w:rsidP="00057FBB">
      <w:pPr>
        <w:pStyle w:val="af5"/>
        <w:numPr>
          <w:ilvl w:val="0"/>
          <w:numId w:val="18"/>
        </w:numPr>
        <w:spacing w:before="120"/>
        <w:ind w:left="690" w:hanging="240"/>
        <w:rPr>
          <w:rFonts w:ascii="宋体" w:eastAsia="宋体" w:hAnsi="Times New Roman"/>
          <w:color w:val="000000"/>
        </w:rPr>
      </w:pPr>
      <w:r w:rsidRPr="00057FBB">
        <w:rPr>
          <w:rFonts w:ascii="宋体" w:eastAsia="宋体" w:hAnsi="Times New Roman" w:hint="eastAsia"/>
          <w:color w:val="000000"/>
        </w:rPr>
        <w:t>代表</w:t>
      </w:r>
      <w:r w:rsidRPr="00057FBB">
        <w:rPr>
          <w:rFonts w:ascii="宋体" w:eastAsia="宋体" w:hAnsi="Times New Roman"/>
          <w:color w:val="000000"/>
        </w:rPr>
        <w:t>Morgan Stanley Asia Limited和UBS AG为统一企业中国控股有限公司香港联合交易所主板上市提供法律服务</w:t>
      </w:r>
    </w:p>
    <w:p w14:paraId="68467AD3" w14:textId="77777777" w:rsidR="00057FBB" w:rsidRDefault="00057FBB" w:rsidP="00057FBB">
      <w:pPr>
        <w:pStyle w:val="af5"/>
        <w:numPr>
          <w:ilvl w:val="0"/>
          <w:numId w:val="19"/>
        </w:numPr>
        <w:spacing w:before="120"/>
        <w:ind w:left="690" w:hanging="240"/>
        <w:rPr>
          <w:rFonts w:ascii="宋体" w:eastAsia="宋体" w:hAnsi="Times New Roman"/>
          <w:color w:val="000000"/>
        </w:rPr>
      </w:pPr>
      <w:r w:rsidRPr="00057FBB">
        <w:rPr>
          <w:rFonts w:ascii="宋体" w:eastAsia="宋体" w:hAnsi="Times New Roman" w:hint="eastAsia"/>
          <w:color w:val="000000"/>
        </w:rPr>
        <w:t>代表承销商为</w:t>
      </w:r>
      <w:r w:rsidRPr="00057FBB">
        <w:rPr>
          <w:rFonts w:ascii="宋体" w:eastAsia="宋体" w:hAnsi="Times New Roman"/>
          <w:color w:val="000000"/>
        </w:rPr>
        <w:t>NetDragon Websoft Inc.香港联合交易所创业板上市提供法律服务</w:t>
      </w:r>
    </w:p>
    <w:p w14:paraId="6A04429C" w14:textId="77777777" w:rsidR="00057FBB" w:rsidRDefault="00057FBB" w:rsidP="00057FBB">
      <w:pPr>
        <w:pStyle w:val="af5"/>
        <w:numPr>
          <w:ilvl w:val="0"/>
          <w:numId w:val="20"/>
        </w:numPr>
        <w:spacing w:before="120"/>
        <w:ind w:left="690" w:hanging="240"/>
        <w:rPr>
          <w:rFonts w:ascii="宋体" w:eastAsia="宋体" w:hAnsi="Times New Roman"/>
          <w:color w:val="000000"/>
        </w:rPr>
      </w:pPr>
      <w:r w:rsidRPr="00057FBB">
        <w:rPr>
          <w:rFonts w:ascii="宋体" w:eastAsia="宋体" w:hAnsi="Times New Roman" w:hint="eastAsia"/>
          <w:color w:val="000000"/>
        </w:rPr>
        <w:t>代表</w:t>
      </w:r>
      <w:r w:rsidRPr="00057FBB">
        <w:rPr>
          <w:rFonts w:ascii="宋体" w:eastAsia="宋体" w:hAnsi="Times New Roman"/>
          <w:color w:val="000000"/>
        </w:rPr>
        <w:t>Goldman Sachs （Asia） L.L.C.， Morgan Stanley &amp; Co. International Limited 和 Morgan Stanley Dean Witter Asia Limited为世茂房地产控股有限公司香港联合交易所主板上市提供法律服务</w:t>
      </w:r>
    </w:p>
    <w:p w14:paraId="5708CCAF" w14:textId="77777777" w:rsidR="00057FBB" w:rsidRDefault="00057FBB" w:rsidP="00057FBB">
      <w:pPr>
        <w:pStyle w:val="af5"/>
        <w:spacing w:before="120"/>
        <w:rPr>
          <w:rFonts w:ascii="宋体" w:eastAsia="宋体" w:hAnsi="Times New Roman"/>
          <w:color w:val="000000"/>
        </w:rPr>
      </w:pPr>
      <w:r w:rsidRPr="00057FBB">
        <w:rPr>
          <w:rFonts w:ascii="宋体" w:eastAsia="宋体" w:hAnsi="Times New Roman" w:hint="eastAsia"/>
          <w:color w:val="000000"/>
        </w:rPr>
        <w:t>收购兼并</w:t>
      </w:r>
    </w:p>
    <w:p w14:paraId="48C064B7" w14:textId="77777777" w:rsidR="00057FBB" w:rsidRDefault="00057FBB" w:rsidP="00057FBB">
      <w:pPr>
        <w:pStyle w:val="af5"/>
        <w:numPr>
          <w:ilvl w:val="0"/>
          <w:numId w:val="21"/>
        </w:numPr>
        <w:spacing w:before="120"/>
        <w:ind w:left="690" w:hanging="240"/>
        <w:rPr>
          <w:rFonts w:ascii="宋体" w:eastAsia="宋体" w:hAnsi="Times New Roman"/>
          <w:color w:val="000000"/>
        </w:rPr>
      </w:pPr>
      <w:r w:rsidRPr="00057FBB">
        <w:rPr>
          <w:rFonts w:ascii="宋体" w:eastAsia="宋体" w:hAnsi="Times New Roman" w:hint="eastAsia"/>
          <w:color w:val="000000"/>
        </w:rPr>
        <w:t>代表妙可蓝多（</w:t>
      </w:r>
      <w:r w:rsidRPr="00057FBB">
        <w:rPr>
          <w:rFonts w:ascii="宋体" w:eastAsia="宋体" w:hAnsi="Times New Roman"/>
          <w:color w:val="000000"/>
        </w:rPr>
        <w:t>600882.SH），为其引入蒙牛作为战略投资者提供法律服务</w:t>
      </w:r>
    </w:p>
    <w:p w14:paraId="6189BFD3" w14:textId="77777777" w:rsidR="00057FBB" w:rsidRDefault="00057FBB" w:rsidP="00057FBB">
      <w:pPr>
        <w:pStyle w:val="af5"/>
        <w:numPr>
          <w:ilvl w:val="0"/>
          <w:numId w:val="22"/>
        </w:numPr>
        <w:spacing w:before="120"/>
        <w:ind w:left="690" w:hanging="240"/>
        <w:rPr>
          <w:rFonts w:ascii="宋体" w:eastAsia="宋体" w:hAnsi="Times New Roman"/>
          <w:color w:val="000000"/>
        </w:rPr>
      </w:pPr>
      <w:r w:rsidRPr="00057FBB">
        <w:rPr>
          <w:rFonts w:ascii="宋体" w:eastAsia="宋体" w:hAnsi="Times New Roman" w:hint="eastAsia"/>
          <w:color w:val="000000"/>
        </w:rPr>
        <w:t>代表宝钢包装（</w:t>
      </w:r>
      <w:r w:rsidRPr="00057FBB">
        <w:rPr>
          <w:rFonts w:ascii="宋体" w:eastAsia="宋体" w:hAnsi="Times New Roman"/>
          <w:color w:val="000000"/>
        </w:rPr>
        <w:t>601968.SH），为其引入金石资本作为战略投资者提供法律服务</w:t>
      </w:r>
    </w:p>
    <w:p w14:paraId="3F0C0F85" w14:textId="77777777" w:rsidR="00057FBB" w:rsidRDefault="00057FBB" w:rsidP="00057FBB">
      <w:pPr>
        <w:pStyle w:val="af5"/>
        <w:numPr>
          <w:ilvl w:val="0"/>
          <w:numId w:val="23"/>
        </w:numPr>
        <w:spacing w:before="120"/>
        <w:ind w:left="690" w:hanging="240"/>
        <w:rPr>
          <w:rFonts w:ascii="宋体" w:eastAsia="宋体" w:hAnsi="Times New Roman"/>
          <w:color w:val="000000"/>
        </w:rPr>
      </w:pPr>
      <w:r w:rsidRPr="00057FBB">
        <w:rPr>
          <w:rFonts w:ascii="宋体" w:eastAsia="宋体" w:hAnsi="Times New Roman" w:hint="eastAsia"/>
          <w:color w:val="000000"/>
        </w:rPr>
        <w:t>代表方源资本，为其将太平鸟（</w:t>
      </w:r>
      <w:r w:rsidRPr="00057FBB">
        <w:rPr>
          <w:rFonts w:ascii="宋体" w:eastAsia="宋体" w:hAnsi="Times New Roman"/>
          <w:color w:val="000000"/>
        </w:rPr>
        <w:t>603877.SH）全部股份出售控股股东并实现退出提供法律服务</w:t>
      </w:r>
    </w:p>
    <w:p w14:paraId="0BBB3AC0" w14:textId="77777777" w:rsidR="00057FBB" w:rsidRDefault="00057FBB" w:rsidP="00057FBB">
      <w:pPr>
        <w:pStyle w:val="af5"/>
        <w:numPr>
          <w:ilvl w:val="0"/>
          <w:numId w:val="24"/>
        </w:numPr>
        <w:spacing w:before="120"/>
        <w:ind w:left="690" w:hanging="240"/>
        <w:rPr>
          <w:rFonts w:ascii="宋体" w:eastAsia="宋体" w:hAnsi="Times New Roman"/>
          <w:color w:val="000000"/>
        </w:rPr>
      </w:pPr>
      <w:r w:rsidRPr="00057FBB">
        <w:rPr>
          <w:rFonts w:ascii="宋体" w:eastAsia="宋体" w:hAnsi="Times New Roman" w:hint="eastAsia"/>
          <w:color w:val="000000"/>
        </w:rPr>
        <w:t>代表</w:t>
      </w:r>
      <w:r w:rsidRPr="00057FBB">
        <w:rPr>
          <w:rFonts w:ascii="宋体" w:eastAsia="宋体" w:hAnsi="Times New Roman"/>
          <w:color w:val="000000"/>
        </w:rPr>
        <w:t>Clearlake Capital，一家美国私募基金，为其收购Unifrax（奇耐亚太）全球业务，包括后者持有的上市公司鲁阳节能（002088.SZ）控股权提供法律服务</w:t>
      </w:r>
    </w:p>
    <w:p w14:paraId="25A74EDF" w14:textId="77777777" w:rsidR="00057FBB" w:rsidRDefault="00057FBB" w:rsidP="00057FBB">
      <w:pPr>
        <w:pStyle w:val="af5"/>
        <w:numPr>
          <w:ilvl w:val="0"/>
          <w:numId w:val="25"/>
        </w:numPr>
        <w:spacing w:before="120"/>
        <w:ind w:left="690" w:hanging="240"/>
        <w:rPr>
          <w:rFonts w:ascii="宋体" w:eastAsia="宋体" w:hAnsi="Times New Roman"/>
          <w:color w:val="000000"/>
        </w:rPr>
      </w:pPr>
      <w:r w:rsidRPr="00057FBB">
        <w:rPr>
          <w:rFonts w:ascii="宋体" w:eastAsia="宋体" w:hAnsi="Times New Roman" w:hint="eastAsia"/>
          <w:color w:val="000000"/>
        </w:rPr>
        <w:t>代表上海盟泽贸易之股东，为其将上海盟泽贸易之控股权出售给爱普股份（</w:t>
      </w:r>
      <w:r w:rsidRPr="00057FBB">
        <w:rPr>
          <w:rFonts w:ascii="宋体" w:eastAsia="宋体" w:hAnsi="Times New Roman"/>
          <w:color w:val="000000"/>
        </w:rPr>
        <w:t>603020.SH）提供法律服务</w:t>
      </w:r>
    </w:p>
    <w:p w14:paraId="79BEAAF8" w14:textId="77777777" w:rsidR="00057FBB" w:rsidRDefault="00057FBB" w:rsidP="00057FBB">
      <w:pPr>
        <w:pStyle w:val="af5"/>
        <w:numPr>
          <w:ilvl w:val="0"/>
          <w:numId w:val="26"/>
        </w:numPr>
        <w:spacing w:before="120"/>
        <w:ind w:left="690" w:hanging="240"/>
        <w:rPr>
          <w:rFonts w:ascii="宋体" w:eastAsia="宋体" w:hAnsi="Times New Roman"/>
          <w:color w:val="000000"/>
        </w:rPr>
      </w:pPr>
      <w:r w:rsidRPr="00057FBB">
        <w:rPr>
          <w:rFonts w:ascii="宋体" w:eastAsia="宋体" w:hAnsi="Times New Roman" w:hint="eastAsia"/>
          <w:color w:val="000000"/>
        </w:rPr>
        <w:t>代表四源合，为其参与重庆钢铁（</w:t>
      </w:r>
      <w:r w:rsidRPr="00057FBB">
        <w:rPr>
          <w:rFonts w:ascii="宋体" w:eastAsia="宋体" w:hAnsi="Times New Roman"/>
          <w:color w:val="000000"/>
        </w:rPr>
        <w:t>A+H股上市公司，601005.SH，01053.HK）司法重整并成为控股股东提供法律服务</w:t>
      </w:r>
    </w:p>
    <w:p w14:paraId="28451156" w14:textId="77777777" w:rsidR="00057FBB" w:rsidRDefault="00057FBB" w:rsidP="00057FBB">
      <w:pPr>
        <w:pStyle w:val="af5"/>
        <w:numPr>
          <w:ilvl w:val="0"/>
          <w:numId w:val="27"/>
        </w:numPr>
        <w:spacing w:before="120"/>
        <w:ind w:left="690" w:hanging="240"/>
        <w:rPr>
          <w:rFonts w:ascii="宋体" w:eastAsia="宋体" w:hAnsi="Times New Roman"/>
          <w:color w:val="000000"/>
        </w:rPr>
      </w:pPr>
      <w:r w:rsidRPr="00057FBB">
        <w:rPr>
          <w:rFonts w:ascii="宋体" w:eastAsia="宋体" w:hAnsi="Times New Roman" w:hint="eastAsia"/>
          <w:color w:val="000000"/>
        </w:rPr>
        <w:t>代表太盟资本（</w:t>
      </w:r>
      <w:r w:rsidRPr="00057FBB">
        <w:rPr>
          <w:rFonts w:ascii="宋体" w:eastAsia="宋体" w:hAnsi="Times New Roman"/>
          <w:color w:val="000000"/>
        </w:rPr>
        <w:t>PAG），为其私有化盈德气体提供法律服务</w:t>
      </w:r>
    </w:p>
    <w:p w14:paraId="70C08D30" w14:textId="77777777" w:rsidR="00057FBB" w:rsidRDefault="00057FBB" w:rsidP="00057FBB">
      <w:pPr>
        <w:pStyle w:val="af5"/>
        <w:numPr>
          <w:ilvl w:val="0"/>
          <w:numId w:val="28"/>
        </w:numPr>
        <w:spacing w:before="120"/>
        <w:ind w:left="690" w:hanging="240"/>
        <w:rPr>
          <w:rFonts w:ascii="宋体" w:eastAsia="宋体" w:hAnsi="Times New Roman"/>
          <w:color w:val="000000"/>
        </w:rPr>
      </w:pPr>
      <w:r w:rsidRPr="00057FBB">
        <w:rPr>
          <w:rFonts w:ascii="宋体" w:eastAsia="宋体" w:hAnsi="Times New Roman" w:hint="eastAsia"/>
          <w:color w:val="000000"/>
        </w:rPr>
        <w:t>代表航融新能源，为其向航天机电（</w:t>
      </w:r>
      <w:r w:rsidRPr="00057FBB">
        <w:rPr>
          <w:rFonts w:ascii="宋体" w:eastAsia="宋体" w:hAnsi="Times New Roman"/>
          <w:color w:val="000000"/>
        </w:rPr>
        <w:t>600151.SH）收购金寨太科和砚山太科光伏电力项目提供法律服务</w:t>
      </w:r>
    </w:p>
    <w:p w14:paraId="787F8CE6" w14:textId="77777777" w:rsidR="00057FBB" w:rsidRDefault="00057FBB" w:rsidP="00057FBB">
      <w:pPr>
        <w:pStyle w:val="af5"/>
        <w:numPr>
          <w:ilvl w:val="0"/>
          <w:numId w:val="29"/>
        </w:numPr>
        <w:spacing w:before="120"/>
        <w:ind w:left="690" w:hanging="240"/>
        <w:rPr>
          <w:rFonts w:ascii="宋体" w:eastAsia="宋体" w:hAnsi="Times New Roman"/>
          <w:color w:val="000000"/>
        </w:rPr>
      </w:pPr>
      <w:r w:rsidRPr="00057FBB">
        <w:rPr>
          <w:rFonts w:ascii="宋体" w:eastAsia="宋体" w:hAnsi="Times New Roman" w:hint="eastAsia"/>
          <w:color w:val="000000"/>
        </w:rPr>
        <w:t>代表激创广告之股东，为其将激创广告之股权出售给联创互联（</w:t>
      </w:r>
      <w:r w:rsidRPr="00057FBB">
        <w:rPr>
          <w:rFonts w:ascii="宋体" w:eastAsia="宋体" w:hAnsi="Times New Roman"/>
          <w:color w:val="000000"/>
        </w:rPr>
        <w:t>300343.SZ）提供服务</w:t>
      </w:r>
    </w:p>
    <w:p w14:paraId="38BACE47" w14:textId="77777777" w:rsidR="00057FBB" w:rsidRDefault="00057FBB" w:rsidP="00057FBB">
      <w:pPr>
        <w:pStyle w:val="af5"/>
        <w:numPr>
          <w:ilvl w:val="0"/>
          <w:numId w:val="30"/>
        </w:numPr>
        <w:spacing w:before="120"/>
        <w:ind w:left="690" w:hanging="240"/>
        <w:rPr>
          <w:rFonts w:ascii="宋体" w:eastAsia="宋体" w:hAnsi="Times New Roman"/>
          <w:color w:val="000000"/>
        </w:rPr>
      </w:pPr>
      <w:r w:rsidRPr="00057FBB">
        <w:rPr>
          <w:rFonts w:ascii="宋体" w:eastAsia="宋体" w:hAnsi="Times New Roman" w:hint="eastAsia"/>
          <w:color w:val="000000"/>
        </w:rPr>
        <w:t>代表云溪投资，为其认购华数传媒（</w:t>
      </w:r>
      <w:r w:rsidRPr="00057FBB">
        <w:rPr>
          <w:rFonts w:ascii="宋体" w:eastAsia="宋体" w:hAnsi="Times New Roman"/>
          <w:color w:val="000000"/>
        </w:rPr>
        <w:t>000156.SZ）非公开发行20%股份提供服务</w:t>
      </w:r>
    </w:p>
    <w:p w14:paraId="41D75892" w14:textId="77777777" w:rsidR="00057FBB" w:rsidRDefault="00057FBB" w:rsidP="00057FBB">
      <w:pPr>
        <w:pStyle w:val="af5"/>
        <w:numPr>
          <w:ilvl w:val="0"/>
          <w:numId w:val="31"/>
        </w:numPr>
        <w:spacing w:before="120"/>
        <w:ind w:left="690" w:hanging="240"/>
        <w:rPr>
          <w:rFonts w:ascii="宋体" w:eastAsia="宋体" w:hAnsi="Times New Roman"/>
          <w:color w:val="000000"/>
        </w:rPr>
      </w:pPr>
      <w:r w:rsidRPr="00057FBB">
        <w:rPr>
          <w:rFonts w:ascii="宋体" w:eastAsia="宋体" w:hAnsi="Times New Roman" w:hint="eastAsia"/>
          <w:color w:val="000000"/>
        </w:rPr>
        <w:t>代表方源资本，为其战略投资科华生物（</w:t>
      </w:r>
      <w:r w:rsidRPr="00057FBB">
        <w:rPr>
          <w:rFonts w:ascii="宋体" w:eastAsia="宋体" w:hAnsi="Times New Roman"/>
          <w:color w:val="000000"/>
        </w:rPr>
        <w:t>002022.SZ）提供法律服务</w:t>
      </w:r>
    </w:p>
    <w:p w14:paraId="54181D99" w14:textId="77777777" w:rsidR="00057FBB" w:rsidRDefault="00057FBB" w:rsidP="00057FBB">
      <w:pPr>
        <w:pStyle w:val="af5"/>
        <w:numPr>
          <w:ilvl w:val="0"/>
          <w:numId w:val="32"/>
        </w:numPr>
        <w:spacing w:before="120"/>
        <w:ind w:left="690" w:hanging="240"/>
        <w:rPr>
          <w:rFonts w:ascii="宋体" w:eastAsia="宋体" w:hAnsi="Times New Roman"/>
          <w:color w:val="000000"/>
        </w:rPr>
      </w:pPr>
      <w:r w:rsidRPr="00057FBB">
        <w:rPr>
          <w:rFonts w:ascii="宋体" w:eastAsia="宋体" w:hAnsi="Times New Roman" w:hint="eastAsia"/>
          <w:color w:val="000000"/>
        </w:rPr>
        <w:t>代表弘毅，为其战略投资城投控股（</w:t>
      </w:r>
      <w:r w:rsidRPr="00057FBB">
        <w:rPr>
          <w:rFonts w:ascii="宋体" w:eastAsia="宋体" w:hAnsi="Times New Roman"/>
          <w:color w:val="000000"/>
        </w:rPr>
        <w:t>600649.SH）提供法律服务</w:t>
      </w:r>
    </w:p>
    <w:p w14:paraId="0E4423C9" w14:textId="77777777" w:rsidR="00057FBB" w:rsidRDefault="00057FBB" w:rsidP="00057FBB">
      <w:pPr>
        <w:pStyle w:val="af5"/>
        <w:numPr>
          <w:ilvl w:val="0"/>
          <w:numId w:val="33"/>
        </w:numPr>
        <w:spacing w:before="120"/>
        <w:ind w:left="690" w:hanging="240"/>
        <w:rPr>
          <w:rFonts w:ascii="宋体" w:eastAsia="宋体" w:hAnsi="Times New Roman"/>
          <w:color w:val="000000"/>
        </w:rPr>
      </w:pPr>
      <w:r w:rsidRPr="00057FBB">
        <w:rPr>
          <w:rFonts w:ascii="宋体" w:eastAsia="宋体" w:hAnsi="Times New Roman" w:hint="eastAsia"/>
          <w:color w:val="000000"/>
        </w:rPr>
        <w:t>代表弘毅，为其将持有的越王珠宝股权出售给金一文化（</w:t>
      </w:r>
      <w:r w:rsidRPr="00057FBB">
        <w:rPr>
          <w:rFonts w:ascii="宋体" w:eastAsia="宋体" w:hAnsi="Times New Roman"/>
          <w:color w:val="000000"/>
        </w:rPr>
        <w:t>002721.SZ）提供法律服务</w:t>
      </w:r>
    </w:p>
    <w:p w14:paraId="04345F14" w14:textId="77777777" w:rsidR="00057FBB" w:rsidRDefault="00057FBB" w:rsidP="00057FBB">
      <w:pPr>
        <w:pStyle w:val="af5"/>
        <w:numPr>
          <w:ilvl w:val="0"/>
          <w:numId w:val="34"/>
        </w:numPr>
        <w:spacing w:before="120"/>
        <w:ind w:left="690" w:hanging="240"/>
        <w:rPr>
          <w:rFonts w:ascii="宋体" w:eastAsia="宋体" w:hAnsi="Times New Roman"/>
          <w:color w:val="000000"/>
        </w:rPr>
      </w:pPr>
      <w:r w:rsidRPr="00057FBB">
        <w:rPr>
          <w:rFonts w:ascii="宋体" w:eastAsia="宋体" w:hAnsi="Times New Roman" w:hint="eastAsia"/>
          <w:color w:val="000000"/>
        </w:rPr>
        <w:t>代表华平，为其将持有的郁金香广告股权出售给新文化（</w:t>
      </w:r>
      <w:r w:rsidRPr="00057FBB">
        <w:rPr>
          <w:rFonts w:ascii="宋体" w:eastAsia="宋体" w:hAnsi="Times New Roman"/>
          <w:color w:val="000000"/>
        </w:rPr>
        <w:t>300336.SZ）提供法律服务</w:t>
      </w:r>
    </w:p>
    <w:p w14:paraId="0F70213B" w14:textId="77777777" w:rsidR="00057FBB" w:rsidRDefault="00057FBB" w:rsidP="00057FBB">
      <w:pPr>
        <w:pStyle w:val="af5"/>
        <w:numPr>
          <w:ilvl w:val="0"/>
          <w:numId w:val="35"/>
        </w:numPr>
        <w:spacing w:before="120"/>
        <w:ind w:left="690" w:hanging="240"/>
        <w:rPr>
          <w:rFonts w:ascii="宋体" w:eastAsia="宋体" w:hAnsi="Times New Roman"/>
          <w:color w:val="000000"/>
        </w:rPr>
      </w:pPr>
      <w:r w:rsidRPr="00057FBB">
        <w:rPr>
          <w:rFonts w:ascii="宋体" w:eastAsia="宋体" w:hAnsi="Times New Roman" w:hint="eastAsia"/>
          <w:color w:val="000000"/>
        </w:rPr>
        <w:t>代表美峰数码，为其将</w:t>
      </w:r>
      <w:r w:rsidRPr="00057FBB">
        <w:rPr>
          <w:rFonts w:ascii="宋体" w:eastAsia="宋体" w:hAnsi="Times New Roman"/>
          <w:color w:val="000000"/>
        </w:rPr>
        <w:t>51%股权出售给中青宝（300052.SZ）提供法律服务</w:t>
      </w:r>
    </w:p>
    <w:p w14:paraId="7A53C276" w14:textId="77777777" w:rsidR="00057FBB" w:rsidRDefault="00057FBB" w:rsidP="00057FBB">
      <w:pPr>
        <w:pStyle w:val="af5"/>
        <w:numPr>
          <w:ilvl w:val="0"/>
          <w:numId w:val="36"/>
        </w:numPr>
        <w:spacing w:before="120"/>
        <w:ind w:left="690" w:hanging="240"/>
        <w:rPr>
          <w:rFonts w:ascii="宋体" w:eastAsia="宋体" w:hAnsi="Times New Roman"/>
          <w:color w:val="000000"/>
        </w:rPr>
      </w:pPr>
      <w:r w:rsidRPr="00057FBB">
        <w:rPr>
          <w:rFonts w:ascii="宋体" w:eastAsia="宋体" w:hAnsi="Times New Roman" w:hint="eastAsia"/>
          <w:color w:val="000000"/>
        </w:rPr>
        <w:t>代表摩根斯坦利华鑫，为其作为</w:t>
      </w:r>
      <w:r w:rsidRPr="00057FBB">
        <w:rPr>
          <w:rFonts w:ascii="宋体" w:eastAsia="宋体" w:hAnsi="Times New Roman"/>
          <w:color w:val="000000"/>
        </w:rPr>
        <w:t>DEG - DEUTSCHE INVESTITIONS出售金正大（002470.SZ）10%股份的财务顾问提供法律服务</w:t>
      </w:r>
    </w:p>
    <w:p w14:paraId="69DE26CC" w14:textId="77777777" w:rsidR="00057FBB" w:rsidRDefault="00057FBB" w:rsidP="00057FBB">
      <w:pPr>
        <w:pStyle w:val="af5"/>
        <w:spacing w:before="120"/>
        <w:rPr>
          <w:rFonts w:ascii="宋体" w:eastAsia="宋体" w:hAnsi="Times New Roman"/>
          <w:color w:val="000000"/>
        </w:rPr>
      </w:pPr>
      <w:r w:rsidRPr="00057FBB">
        <w:rPr>
          <w:rFonts w:ascii="宋体" w:eastAsia="宋体" w:hAnsi="Times New Roman" w:hint="eastAsia"/>
          <w:color w:val="000000"/>
        </w:rPr>
        <w:t>私募融资和一般公司业务</w:t>
      </w:r>
    </w:p>
    <w:p w14:paraId="0A6BBE16" w14:textId="77777777" w:rsidR="00057FBB" w:rsidRDefault="00057FBB" w:rsidP="00057FBB">
      <w:pPr>
        <w:pStyle w:val="af5"/>
        <w:numPr>
          <w:ilvl w:val="0"/>
          <w:numId w:val="37"/>
        </w:numPr>
        <w:spacing w:before="120"/>
        <w:ind w:left="690" w:hanging="240"/>
        <w:rPr>
          <w:rFonts w:ascii="宋体" w:eastAsia="宋体" w:hAnsi="Times New Roman"/>
          <w:color w:val="000000"/>
        </w:rPr>
      </w:pPr>
      <w:r w:rsidRPr="00057FBB">
        <w:rPr>
          <w:rFonts w:ascii="宋体" w:eastAsia="宋体" w:hAnsi="Times New Roman" w:hint="eastAsia"/>
          <w:color w:val="000000"/>
        </w:rPr>
        <w:t>为北高峰资本、汇勤资本、仲德资本、洪泰基金、春华资本、弘毅、方源资本、纪源资本、阿里巴巴（集团投资实体）、同程控股（集团投资实体）、联新投资、联升创投、乾盛基金、国和投资、开铂银科等数家专业投资机构的对外投资项目提供服务</w:t>
      </w:r>
    </w:p>
    <w:p w14:paraId="58172897" w14:textId="77777777" w:rsidR="00057FBB" w:rsidRDefault="00057FBB" w:rsidP="00057FBB">
      <w:pPr>
        <w:pStyle w:val="af5"/>
        <w:numPr>
          <w:ilvl w:val="0"/>
          <w:numId w:val="38"/>
        </w:numPr>
        <w:spacing w:before="120"/>
        <w:ind w:left="690" w:hanging="240"/>
        <w:rPr>
          <w:rFonts w:ascii="宋体" w:eastAsia="宋体" w:hAnsi="Times New Roman"/>
          <w:color w:val="000000"/>
        </w:rPr>
      </w:pPr>
      <w:r w:rsidRPr="00057FBB">
        <w:rPr>
          <w:rFonts w:ascii="宋体" w:eastAsia="宋体" w:hAnsi="Times New Roman" w:hint="eastAsia"/>
          <w:color w:val="000000"/>
        </w:rPr>
        <w:t>为若干企业的上市前重组、融资和日常法律服务项目提供服务，服务的客户包括：虹软科技、丽人丽妆、小乔体育、天数智芯、阅影科技、美中互健等</w:t>
      </w:r>
    </w:p>
    <w:p w14:paraId="216A10F0" w14:textId="77777777" w:rsidR="00057FBB" w:rsidRDefault="00057FBB" w:rsidP="00057FBB">
      <w:pPr>
        <w:pStyle w:val="af5"/>
        <w:numPr>
          <w:ilvl w:val="0"/>
          <w:numId w:val="39"/>
        </w:numPr>
        <w:spacing w:before="120"/>
        <w:ind w:left="690" w:hanging="240"/>
        <w:rPr>
          <w:rFonts w:ascii="宋体" w:eastAsia="宋体" w:hAnsi="Times New Roman"/>
          <w:color w:val="000000"/>
        </w:rPr>
      </w:pPr>
      <w:r w:rsidRPr="00057FBB">
        <w:rPr>
          <w:rFonts w:ascii="宋体" w:eastAsia="宋体" w:hAnsi="Times New Roman" w:hint="eastAsia"/>
          <w:color w:val="000000"/>
        </w:rPr>
        <w:t>为若干上市公司的日常法律事宜提供服务：虹软科技（</w:t>
      </w:r>
      <w:r w:rsidRPr="00057FBB">
        <w:rPr>
          <w:rFonts w:ascii="宋体" w:eastAsia="宋体" w:hAnsi="Times New Roman"/>
          <w:color w:val="000000"/>
        </w:rPr>
        <w:t>688088.SH）、海立股份（600619.SH）、锦江投资（600650.SH）、锦江股份（600754.SH）、佳通轮胎（600182.SH）、杭钢股份（600126.SH）、宝信软件（600845.SH）、宝钢包装（601968.SH）</w:t>
      </w:r>
    </w:p>
    <w:p w14:paraId="104B105E" w14:textId="77777777" w:rsidR="00057FBB" w:rsidRDefault="00057FBB" w:rsidP="00057FBB">
      <w:pPr>
        <w:pStyle w:val="af5"/>
        <w:spacing w:after="0" w:line="480" w:lineRule="auto"/>
        <w:rPr>
          <w:rFonts w:ascii="宋体" w:eastAsia="宋体" w:hAnsi="宋体"/>
          <w:b/>
          <w:sz w:val="24"/>
        </w:rPr>
      </w:pPr>
      <w:r w:rsidRPr="00057FBB">
        <w:rPr>
          <w:rFonts w:ascii="宋体" w:eastAsia="宋体" w:hAnsi="宋体" w:hint="eastAsia"/>
          <w:b/>
          <w:sz w:val="24"/>
        </w:rPr>
        <w:t>教育背景</w:t>
      </w:r>
    </w:p>
    <w:p w14:paraId="28C7BA33" w14:textId="77777777" w:rsidR="00057FBB" w:rsidRDefault="00057FBB" w:rsidP="00057FBB">
      <w:pPr>
        <w:pStyle w:val="af5"/>
        <w:numPr>
          <w:ilvl w:val="0"/>
          <w:numId w:val="40"/>
        </w:numPr>
        <w:spacing w:before="120"/>
        <w:ind w:left="690" w:hanging="240"/>
        <w:rPr>
          <w:rFonts w:ascii="宋体" w:eastAsia="宋体" w:hAnsi="Times New Roman"/>
          <w:color w:val="000000"/>
        </w:rPr>
      </w:pPr>
      <w:r w:rsidRPr="00057FBB">
        <w:rPr>
          <w:rFonts w:ascii="宋体" w:eastAsia="宋体" w:hAnsi="Times New Roman" w:hint="eastAsia"/>
          <w:color w:val="000000"/>
        </w:rPr>
        <w:t>复旦大学法学院，法学学士</w:t>
      </w:r>
    </w:p>
    <w:p w14:paraId="21752AE3" w14:textId="77777777" w:rsidR="00057FBB" w:rsidRDefault="00057FBB" w:rsidP="00057FBB">
      <w:pPr>
        <w:pStyle w:val="af5"/>
        <w:numPr>
          <w:ilvl w:val="0"/>
          <w:numId w:val="41"/>
        </w:numPr>
        <w:spacing w:before="120"/>
        <w:ind w:left="690" w:hanging="240"/>
        <w:rPr>
          <w:rFonts w:ascii="宋体" w:eastAsia="宋体" w:hAnsi="Times New Roman"/>
          <w:color w:val="000000"/>
        </w:rPr>
      </w:pPr>
      <w:r w:rsidRPr="00057FBB">
        <w:rPr>
          <w:rFonts w:ascii="宋体" w:eastAsia="宋体" w:hAnsi="Times New Roman" w:hint="eastAsia"/>
          <w:color w:val="000000"/>
        </w:rPr>
        <w:t>上海交通大学安泰经济与管理学院，工商管理硕士</w:t>
      </w:r>
    </w:p>
    <w:p w14:paraId="23B6CE20" w14:textId="77777777" w:rsidR="00057FBB" w:rsidRDefault="00057FBB" w:rsidP="00057FBB">
      <w:pPr>
        <w:pStyle w:val="af5"/>
        <w:spacing w:after="0" w:line="480" w:lineRule="auto"/>
        <w:rPr>
          <w:rFonts w:ascii="宋体" w:eastAsia="宋体" w:hAnsi="宋体"/>
          <w:b/>
          <w:sz w:val="24"/>
        </w:rPr>
      </w:pPr>
      <w:r w:rsidRPr="00057FBB">
        <w:rPr>
          <w:rFonts w:ascii="宋体" w:eastAsia="宋体" w:hAnsi="宋体" w:hint="eastAsia"/>
          <w:b/>
          <w:sz w:val="24"/>
        </w:rPr>
        <w:t>执业资格</w:t>
      </w:r>
    </w:p>
    <w:p w14:paraId="2BA91FA2" w14:textId="77777777" w:rsidR="00057FBB" w:rsidRDefault="00057FBB" w:rsidP="00057FBB">
      <w:pPr>
        <w:pStyle w:val="af5"/>
        <w:numPr>
          <w:ilvl w:val="0"/>
          <w:numId w:val="42"/>
        </w:numPr>
        <w:spacing w:before="120"/>
        <w:ind w:left="690" w:hanging="240"/>
        <w:rPr>
          <w:rFonts w:ascii="宋体" w:eastAsia="宋体" w:hAnsi="Times New Roman"/>
          <w:color w:val="000000"/>
        </w:rPr>
      </w:pPr>
      <w:r w:rsidRPr="00057FBB">
        <w:rPr>
          <w:rFonts w:ascii="宋体" w:eastAsia="宋体" w:hAnsi="Times New Roman" w:hint="eastAsia"/>
          <w:color w:val="000000"/>
        </w:rPr>
        <w:t>中华人民共和国执业律师</w:t>
      </w:r>
    </w:p>
    <w:p w14:paraId="24FE5F49" w14:textId="77777777" w:rsidR="00057FBB" w:rsidRDefault="00057FBB" w:rsidP="00057FBB">
      <w:pPr>
        <w:pStyle w:val="af5"/>
        <w:spacing w:after="0" w:line="480" w:lineRule="auto"/>
        <w:rPr>
          <w:rFonts w:ascii="宋体" w:eastAsia="宋体" w:hAnsi="宋体"/>
          <w:b/>
          <w:sz w:val="24"/>
        </w:rPr>
      </w:pPr>
      <w:r w:rsidRPr="00057FBB">
        <w:rPr>
          <w:rFonts w:ascii="宋体" w:eastAsia="宋体" w:hAnsi="宋体" w:hint="eastAsia"/>
          <w:b/>
          <w:sz w:val="24"/>
        </w:rPr>
        <w:t>职业背景</w:t>
      </w:r>
    </w:p>
    <w:p w14:paraId="4F0A196B" w14:textId="2E07B41D" w:rsidR="00A46A04" w:rsidRPr="00057FBB" w:rsidRDefault="00057FBB" w:rsidP="00057FBB">
      <w:pPr>
        <w:pStyle w:val="af5"/>
        <w:numPr>
          <w:ilvl w:val="0"/>
          <w:numId w:val="43"/>
        </w:numPr>
        <w:spacing w:before="120"/>
        <w:ind w:left="690" w:hanging="240"/>
        <w:rPr>
          <w:rFonts w:ascii="宋体" w:eastAsia="宋体" w:hAnsi="Times New Roman"/>
          <w:color w:val="000000"/>
        </w:rPr>
      </w:pPr>
      <w:r w:rsidRPr="00057FBB">
        <w:rPr>
          <w:rFonts w:ascii="宋体" w:eastAsia="宋体" w:hAnsi="Times New Roman" w:hint="eastAsia"/>
          <w:color w:val="000000"/>
        </w:rPr>
        <w:t>刘一苇律师于</w:t>
      </w:r>
      <w:r w:rsidRPr="00057FBB">
        <w:rPr>
          <w:rFonts w:ascii="宋体" w:eastAsia="宋体" w:hAnsi="Times New Roman"/>
          <w:color w:val="000000"/>
        </w:rPr>
        <w:t>2005年加入方达律师事务所。</w:t>
      </w:r>
    </w:p>
    <w:sectPr w:rsidR="00A46A04" w:rsidRPr="00057F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73590"/>
    <w:multiLevelType w:val="singleLevel"/>
    <w:tmpl w:val="D5CCB5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A7169E"/>
    <w:multiLevelType w:val="singleLevel"/>
    <w:tmpl w:val="CB5E4A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F1399E"/>
    <w:multiLevelType w:val="singleLevel"/>
    <w:tmpl w:val="39E0D2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5414EA"/>
    <w:multiLevelType w:val="singleLevel"/>
    <w:tmpl w:val="0C661C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8C4B75"/>
    <w:multiLevelType w:val="singleLevel"/>
    <w:tmpl w:val="4C386E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9758F6"/>
    <w:multiLevelType w:val="singleLevel"/>
    <w:tmpl w:val="708C4E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3215DD"/>
    <w:multiLevelType w:val="singleLevel"/>
    <w:tmpl w:val="3B8CEE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0C005C"/>
    <w:multiLevelType w:val="singleLevel"/>
    <w:tmpl w:val="C240C16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0F52E4"/>
    <w:multiLevelType w:val="singleLevel"/>
    <w:tmpl w:val="6D3C26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5A7D3A"/>
    <w:multiLevelType w:val="singleLevel"/>
    <w:tmpl w:val="A8D0A6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B26BF3"/>
    <w:multiLevelType w:val="singleLevel"/>
    <w:tmpl w:val="BAD2A2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851E19"/>
    <w:multiLevelType w:val="singleLevel"/>
    <w:tmpl w:val="FE4440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2A2D93"/>
    <w:multiLevelType w:val="singleLevel"/>
    <w:tmpl w:val="E3B06C4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687A8B"/>
    <w:multiLevelType w:val="singleLevel"/>
    <w:tmpl w:val="06C881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5A69D7"/>
    <w:multiLevelType w:val="singleLevel"/>
    <w:tmpl w:val="1C8EBE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1C66DE"/>
    <w:multiLevelType w:val="singleLevel"/>
    <w:tmpl w:val="1E8404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912FD4"/>
    <w:multiLevelType w:val="singleLevel"/>
    <w:tmpl w:val="2FEA787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087DB2"/>
    <w:multiLevelType w:val="singleLevel"/>
    <w:tmpl w:val="F3D2586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EC78D3"/>
    <w:multiLevelType w:val="singleLevel"/>
    <w:tmpl w:val="F12831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B75E31"/>
    <w:multiLevelType w:val="singleLevel"/>
    <w:tmpl w:val="9356BE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D7305C"/>
    <w:multiLevelType w:val="singleLevel"/>
    <w:tmpl w:val="4100E7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400E2D0D"/>
    <w:multiLevelType w:val="singleLevel"/>
    <w:tmpl w:val="715655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7D2BDF"/>
    <w:multiLevelType w:val="singleLevel"/>
    <w:tmpl w:val="709EE8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5E4AED"/>
    <w:multiLevelType w:val="singleLevel"/>
    <w:tmpl w:val="24C859D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722E97"/>
    <w:multiLevelType w:val="singleLevel"/>
    <w:tmpl w:val="9AB497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BF2EBC"/>
    <w:multiLevelType w:val="singleLevel"/>
    <w:tmpl w:val="789C655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0C3F4A"/>
    <w:multiLevelType w:val="singleLevel"/>
    <w:tmpl w:val="8242925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FD06FF"/>
    <w:multiLevelType w:val="singleLevel"/>
    <w:tmpl w:val="823CC2F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5100F7"/>
    <w:multiLevelType w:val="singleLevel"/>
    <w:tmpl w:val="9E5CAF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0B09FE"/>
    <w:multiLevelType w:val="singleLevel"/>
    <w:tmpl w:val="33E65FE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73329B"/>
    <w:multiLevelType w:val="singleLevel"/>
    <w:tmpl w:val="21E8460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815ED3"/>
    <w:multiLevelType w:val="singleLevel"/>
    <w:tmpl w:val="F774B95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194A97"/>
    <w:multiLevelType w:val="singleLevel"/>
    <w:tmpl w:val="0C20A36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6426EE"/>
    <w:multiLevelType w:val="singleLevel"/>
    <w:tmpl w:val="2F9023F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E046F2"/>
    <w:multiLevelType w:val="singleLevel"/>
    <w:tmpl w:val="CE726A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AA4D4C"/>
    <w:multiLevelType w:val="singleLevel"/>
    <w:tmpl w:val="933E4F9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B60211"/>
    <w:multiLevelType w:val="singleLevel"/>
    <w:tmpl w:val="A558CA4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48084D"/>
    <w:multiLevelType w:val="singleLevel"/>
    <w:tmpl w:val="F12831C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416DF7"/>
    <w:multiLevelType w:val="singleLevel"/>
    <w:tmpl w:val="4AB2162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A453CD"/>
    <w:multiLevelType w:val="singleLevel"/>
    <w:tmpl w:val="D7767C1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097B02"/>
    <w:multiLevelType w:val="singleLevel"/>
    <w:tmpl w:val="59A21F3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2"/>
  </w:num>
  <w:num w:numId="3">
    <w:abstractNumId w:val="13"/>
  </w:num>
  <w:num w:numId="4">
    <w:abstractNumId w:val="27"/>
  </w:num>
  <w:num w:numId="5">
    <w:abstractNumId w:val="2"/>
  </w:num>
  <w:num w:numId="6">
    <w:abstractNumId w:val="28"/>
  </w:num>
  <w:num w:numId="7">
    <w:abstractNumId w:val="34"/>
  </w:num>
  <w:num w:numId="8">
    <w:abstractNumId w:val="21"/>
  </w:num>
  <w:num w:numId="9">
    <w:abstractNumId w:val="16"/>
  </w:num>
  <w:num w:numId="10">
    <w:abstractNumId w:val="7"/>
  </w:num>
  <w:num w:numId="11">
    <w:abstractNumId w:val="4"/>
  </w:num>
  <w:num w:numId="12">
    <w:abstractNumId w:val="20"/>
  </w:num>
  <w:num w:numId="13">
    <w:abstractNumId w:val="23"/>
  </w:num>
  <w:num w:numId="14">
    <w:abstractNumId w:val="38"/>
  </w:num>
  <w:num w:numId="15">
    <w:abstractNumId w:val="33"/>
  </w:num>
  <w:num w:numId="16">
    <w:abstractNumId w:val="6"/>
  </w:num>
  <w:num w:numId="17">
    <w:abstractNumId w:val="8"/>
  </w:num>
  <w:num w:numId="18">
    <w:abstractNumId w:val="37"/>
  </w:num>
  <w:num w:numId="19">
    <w:abstractNumId w:val="32"/>
  </w:num>
  <w:num w:numId="20">
    <w:abstractNumId w:val="15"/>
  </w:num>
  <w:num w:numId="21">
    <w:abstractNumId w:val="9"/>
  </w:num>
  <w:num w:numId="22">
    <w:abstractNumId w:val="1"/>
  </w:num>
  <w:num w:numId="23">
    <w:abstractNumId w:val="35"/>
  </w:num>
  <w:num w:numId="24">
    <w:abstractNumId w:val="30"/>
  </w:num>
  <w:num w:numId="25">
    <w:abstractNumId w:val="5"/>
  </w:num>
  <w:num w:numId="26">
    <w:abstractNumId w:val="31"/>
  </w:num>
  <w:num w:numId="27">
    <w:abstractNumId w:val="17"/>
  </w:num>
  <w:num w:numId="28">
    <w:abstractNumId w:val="0"/>
  </w:num>
  <w:num w:numId="29">
    <w:abstractNumId w:val="36"/>
  </w:num>
  <w:num w:numId="30">
    <w:abstractNumId w:val="3"/>
  </w:num>
  <w:num w:numId="31">
    <w:abstractNumId w:val="42"/>
  </w:num>
  <w:num w:numId="32">
    <w:abstractNumId w:val="12"/>
  </w:num>
  <w:num w:numId="33">
    <w:abstractNumId w:val="18"/>
  </w:num>
  <w:num w:numId="34">
    <w:abstractNumId w:val="40"/>
  </w:num>
  <w:num w:numId="35">
    <w:abstractNumId w:val="11"/>
  </w:num>
  <w:num w:numId="36">
    <w:abstractNumId w:val="41"/>
  </w:num>
  <w:num w:numId="37">
    <w:abstractNumId w:val="26"/>
  </w:num>
  <w:num w:numId="38">
    <w:abstractNumId w:val="10"/>
  </w:num>
  <w:num w:numId="39">
    <w:abstractNumId w:val="25"/>
  </w:num>
  <w:num w:numId="40">
    <w:abstractNumId w:val="24"/>
  </w:num>
  <w:num w:numId="41">
    <w:abstractNumId w:val="29"/>
  </w:num>
  <w:num w:numId="42">
    <w:abstractNumId w:val="39"/>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57FBB"/>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57FBB"/>
    <w:pPr>
      <w:spacing w:after="120"/>
    </w:pPr>
  </w:style>
  <w:style w:type="character" w:customStyle="1" w:styleId="af6">
    <w:name w:val="正文文本 字符"/>
    <w:basedOn w:val="a0"/>
    <w:link w:val="af5"/>
    <w:uiPriority w:val="99"/>
    <w:rsid w:val="00057F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122CB-BEA3-40A7-8F1F-8D45267D2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356</Words>
  <Characters>2032</Characters>
  <Application>Microsoft Office Word</Application>
  <DocSecurity>0</DocSecurity>
  <Lines>16</Lines>
  <Paragraphs>4</Paragraphs>
  <ScaleCrop>false</ScaleCrop>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2026-06-10T00:55:00Z</dcterms:created>
  <dcterms:modified xsi:type="dcterms:W3CDTF">2026-06-10T00:55:00Z</dcterms:modified>
</cp:coreProperties>
</file>