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773521E" w:rsidR="0049405C" w:rsidRPr="00187BAA" w:rsidRDefault="00DA1147" w:rsidP="00DA1147">
            <w:pPr>
              <w:spacing w:line="720" w:lineRule="auto"/>
              <w:rPr>
                <w:rFonts w:ascii="宋体" w:eastAsia="宋体" w:hAnsi="宋体"/>
                <w:color w:val="545551"/>
              </w:rPr>
            </w:pPr>
            <w:bookmarkStart w:id="0" w:name="xingming"/>
            <w:bookmarkStart w:id="1" w:name="_GoBack"/>
            <w:bookmarkEnd w:id="1"/>
            <w:r w:rsidRPr="00DA1147">
              <w:rPr>
                <w:rFonts w:ascii="宋体" w:eastAsia="宋体" w:hAnsi="Times New Roman" w:hint="eastAsia"/>
                <w:b/>
                <w:color w:val="000000"/>
                <w:sz w:val="48"/>
              </w:rPr>
              <w:t>陈素音</w:t>
            </w:r>
            <w:bookmarkEnd w:id="0"/>
          </w:p>
          <w:p w14:paraId="2160312B" w14:textId="77777777" w:rsidR="00DA1147" w:rsidRPr="00DA1147" w:rsidRDefault="00DA1147" w:rsidP="00DA1147">
            <w:pPr>
              <w:spacing w:line="360" w:lineRule="auto"/>
              <w:rPr>
                <w:rFonts w:ascii="宋体" w:eastAsia="宋体" w:hAnsi="Times New Roman"/>
                <w:b/>
                <w:bCs/>
                <w:color w:val="000000"/>
              </w:rPr>
            </w:pPr>
            <w:bookmarkStart w:id="2" w:name="didian"/>
            <w:r w:rsidRPr="00DA1147">
              <w:rPr>
                <w:rFonts w:ascii="宋体" w:eastAsia="宋体" w:hAnsi="Times New Roman" w:hint="eastAsia"/>
                <w:b/>
                <w:bCs/>
                <w:color w:val="000000"/>
              </w:rPr>
              <w:t>北京</w:t>
            </w:r>
          </w:p>
          <w:p w14:paraId="706EB16B" w14:textId="024B086E" w:rsidR="0049405C" w:rsidRPr="00187BAA" w:rsidRDefault="00DA1147" w:rsidP="00DA1147">
            <w:pPr>
              <w:spacing w:line="360" w:lineRule="auto"/>
              <w:rPr>
                <w:rFonts w:ascii="宋体" w:eastAsia="宋体" w:hAnsi="宋体"/>
                <w:b/>
                <w:bCs/>
                <w:color w:val="545551"/>
              </w:rPr>
            </w:pPr>
            <w:r w:rsidRPr="00DA1147">
              <w:rPr>
                <w:rFonts w:ascii="宋体" w:eastAsia="宋体" w:hAnsi="Times New Roman" w:hint="eastAsia"/>
                <w:b/>
                <w:bCs/>
                <w:color w:val="000000"/>
              </w:rPr>
              <w:t>合伙人·新加坡</w:t>
            </w:r>
            <w:bookmarkEnd w:id="2"/>
          </w:p>
          <w:p w14:paraId="6199424A" w14:textId="138F1438" w:rsidR="0049405C" w:rsidRPr="00187BAA" w:rsidRDefault="00DA1147" w:rsidP="00DA1147">
            <w:pPr>
              <w:spacing w:line="360" w:lineRule="auto"/>
              <w:rPr>
                <w:rFonts w:ascii="宋体" w:eastAsia="宋体" w:hAnsi="宋体"/>
                <w:color w:val="545551"/>
              </w:rPr>
            </w:pPr>
            <w:bookmarkStart w:id="3" w:name="dianhua"/>
            <w:r w:rsidRPr="00DA1147">
              <w:rPr>
                <w:rFonts w:ascii="宋体" w:eastAsia="宋体" w:hAnsi="Times New Roman"/>
                <w:color w:val="000000"/>
              </w:rPr>
              <w:t>+86 10 5760 5600 / +65 6859 6780</w:t>
            </w:r>
            <w:bookmarkEnd w:id="3"/>
          </w:p>
          <w:p w14:paraId="4F910ACA" w14:textId="73075AEB" w:rsidR="0049405C" w:rsidRPr="00187BAA" w:rsidRDefault="00DA1147" w:rsidP="00DA1147">
            <w:pPr>
              <w:spacing w:line="360" w:lineRule="auto"/>
              <w:rPr>
                <w:rFonts w:ascii="宋体" w:eastAsia="宋体" w:hAnsi="宋体"/>
                <w:color w:val="000000"/>
              </w:rPr>
            </w:pPr>
            <w:bookmarkStart w:id="4" w:name="youxiang"/>
            <w:r w:rsidRPr="00DA1147">
              <w:rPr>
                <w:rFonts w:ascii="宋体" w:eastAsia="宋体" w:hAnsi="Times New Roman"/>
                <w:color w:val="000000"/>
              </w:rPr>
              <w:t>suyin.chen@fangdalaw.com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20430A5" w:rsidR="0049405C" w:rsidRPr="00187BAA" w:rsidRDefault="00DA114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CB22BA" wp14:editId="3DB946CA">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C37F183" w:rsidR="009465FB" w:rsidRPr="00187BAA" w:rsidRDefault="00DA1147" w:rsidP="007177F3">
            <w:pPr>
              <w:rPr>
                <w:rFonts w:ascii="宋体" w:eastAsia="宋体" w:hAnsi="宋体"/>
                <w:color w:val="000000"/>
                <w:szCs w:val="21"/>
              </w:rPr>
            </w:pPr>
            <w:bookmarkStart w:id="6" w:name="zhiyelingyu"/>
            <w:r w:rsidRPr="00DA1147">
              <w:rPr>
                <w:rFonts w:ascii="宋体" w:eastAsia="宋体" w:hAnsi="Times New Roman" w:hint="eastAsia"/>
                <w:color w:val="000000"/>
                <w:szCs w:val="21"/>
              </w:rPr>
              <w:t>陈素音律师的主要执业领域包括东南亚地区的跨境并购以及私募股权投资业务。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FE0FB0" w14:textId="77777777" w:rsidR="00DA114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F4B8D78" w14:textId="77777777" w:rsidR="00DA1147" w:rsidRDefault="00DA1147" w:rsidP="00DA1147">
      <w:pPr>
        <w:pStyle w:val="af5"/>
        <w:spacing w:after="0" w:line="480" w:lineRule="auto"/>
        <w:rPr>
          <w:rFonts w:ascii="宋体" w:eastAsia="宋体" w:hAnsi="宋体"/>
          <w:b/>
          <w:sz w:val="24"/>
        </w:rPr>
      </w:pPr>
      <w:r w:rsidRPr="00DA1147">
        <w:rPr>
          <w:rFonts w:ascii="宋体" w:eastAsia="宋体" w:hAnsi="宋体" w:hint="eastAsia"/>
          <w:b/>
          <w:sz w:val="24"/>
        </w:rPr>
        <w:t>近期代理的主要案件</w:t>
      </w:r>
    </w:p>
    <w:p w14:paraId="68D4A1FA" w14:textId="77777777" w:rsidR="00DA1147" w:rsidRDefault="00DA1147" w:rsidP="00DA1147">
      <w:pPr>
        <w:pStyle w:val="af5"/>
        <w:spacing w:before="120"/>
        <w:rPr>
          <w:rFonts w:ascii="宋体" w:eastAsia="宋体" w:hAnsi="Times New Roman"/>
          <w:color w:val="000000"/>
        </w:rPr>
      </w:pPr>
    </w:p>
    <w:p w14:paraId="689C3A91" w14:textId="77777777" w:rsidR="00DA1147" w:rsidRDefault="00DA1147" w:rsidP="00DA1147">
      <w:pPr>
        <w:pStyle w:val="af5"/>
        <w:numPr>
          <w:ilvl w:val="0"/>
          <w:numId w:val="4"/>
        </w:numPr>
        <w:spacing w:before="120"/>
        <w:ind w:left="690" w:hanging="240"/>
        <w:rPr>
          <w:rFonts w:ascii="宋体" w:eastAsia="宋体" w:hAnsi="Times New Roman"/>
          <w:color w:val="000000"/>
        </w:rPr>
      </w:pPr>
      <w:r w:rsidRPr="00DA1147">
        <w:rPr>
          <w:rFonts w:ascii="宋体" w:eastAsia="宋体" w:hAnsi="Times New Roman" w:hint="eastAsia"/>
          <w:color w:val="000000"/>
        </w:rPr>
        <w:t>代表</w:t>
      </w:r>
      <w:r w:rsidRPr="00DA1147">
        <w:rPr>
          <w:rFonts w:ascii="宋体" w:eastAsia="宋体" w:hAnsi="Times New Roman"/>
          <w:color w:val="000000"/>
        </w:rPr>
        <w:t>PT Panca Amara Utama（一家印度尼西亚石化产品制造公司）及其发起人股东参与向三菱公司和国际金融公司进行的5.14亿美元的融资项目，及在印度尼西亚苏拉威西岛投资建设第一座氨气生产厂的合资企业，该交易获2014年度亚太地区最佳石化交易奖。</w:t>
      </w:r>
    </w:p>
    <w:p w14:paraId="6374B1A7" w14:textId="77777777" w:rsidR="00DA1147" w:rsidRDefault="00DA1147" w:rsidP="00DA1147">
      <w:pPr>
        <w:pStyle w:val="af5"/>
        <w:numPr>
          <w:ilvl w:val="0"/>
          <w:numId w:val="5"/>
        </w:numPr>
        <w:spacing w:before="120"/>
        <w:ind w:left="690" w:hanging="240"/>
        <w:rPr>
          <w:rFonts w:ascii="宋体" w:eastAsia="宋体" w:hAnsi="Times New Roman"/>
          <w:color w:val="000000"/>
        </w:rPr>
      </w:pPr>
      <w:r w:rsidRPr="00DA1147">
        <w:rPr>
          <w:rFonts w:ascii="宋体" w:eastAsia="宋体" w:hAnsi="Times New Roman" w:hint="eastAsia"/>
          <w:color w:val="000000"/>
        </w:rPr>
        <w:t>代表</w:t>
      </w:r>
      <w:r w:rsidRPr="00DA1147">
        <w:rPr>
          <w:rFonts w:ascii="宋体" w:eastAsia="宋体" w:hAnsi="Times New Roman"/>
          <w:color w:val="000000"/>
        </w:rPr>
        <w:t>Capital Diamond Star Group参与其与三菱公司在缅甸进行的7.5亿美元食品业务合资项目，以及后续该食品业务的境内外重组事宜。</w:t>
      </w:r>
    </w:p>
    <w:p w14:paraId="690A53FF" w14:textId="77777777" w:rsidR="00DA1147" w:rsidRDefault="00DA1147" w:rsidP="00DA1147">
      <w:pPr>
        <w:pStyle w:val="af5"/>
        <w:numPr>
          <w:ilvl w:val="0"/>
          <w:numId w:val="6"/>
        </w:numPr>
        <w:spacing w:before="120"/>
        <w:ind w:left="690" w:hanging="240"/>
        <w:rPr>
          <w:rFonts w:ascii="宋体" w:eastAsia="宋体" w:hAnsi="Times New Roman"/>
          <w:color w:val="000000"/>
        </w:rPr>
      </w:pPr>
      <w:r w:rsidRPr="00DA1147">
        <w:rPr>
          <w:rFonts w:ascii="宋体" w:eastAsia="宋体" w:hAnsi="Times New Roman" w:hint="eastAsia"/>
          <w:color w:val="000000"/>
        </w:rPr>
        <w:t>为</w:t>
      </w:r>
      <w:r w:rsidRPr="00DA1147">
        <w:rPr>
          <w:rFonts w:ascii="宋体" w:eastAsia="宋体" w:hAnsi="Times New Roman"/>
          <w:color w:val="000000"/>
        </w:rPr>
        <w:t>PT Garuda Indonesia (Persero) Tbk.（一家印度尼西亚国有航空公司）8.5亿美元金融债务重组项目提供法律服务，包括按照荷兰拍卖程序征求同意和回购未偿还的浮动利率票据，按照荷兰拍卖程序从现有商业贷方回购未偿还的飞机融资租赁贷款，由英国、德国和法国出口信贷机构和商业贷方担保和出资的的飞机融资租赁协议下的付款和债务重组，对所有债权人的付款义务重组，包括以美元和卢比计价的浮动利率票据持有人。</w:t>
      </w:r>
    </w:p>
    <w:p w14:paraId="5F0F0847" w14:textId="77777777" w:rsidR="00DA1147" w:rsidRDefault="00DA1147" w:rsidP="00DA1147">
      <w:pPr>
        <w:pStyle w:val="af5"/>
        <w:numPr>
          <w:ilvl w:val="0"/>
          <w:numId w:val="7"/>
        </w:numPr>
        <w:spacing w:before="120"/>
        <w:ind w:left="690" w:hanging="240"/>
        <w:rPr>
          <w:rFonts w:ascii="宋体" w:eastAsia="宋体" w:hAnsi="Times New Roman"/>
          <w:color w:val="000000"/>
        </w:rPr>
      </w:pPr>
      <w:r w:rsidRPr="00DA1147">
        <w:rPr>
          <w:rFonts w:ascii="宋体" w:eastAsia="宋体" w:hAnsi="Times New Roman" w:hint="eastAsia"/>
          <w:color w:val="000000"/>
        </w:rPr>
        <w:t>代表</w:t>
      </w:r>
      <w:r w:rsidRPr="00DA1147">
        <w:rPr>
          <w:rFonts w:ascii="宋体" w:eastAsia="宋体" w:hAnsi="Times New Roman"/>
          <w:color w:val="000000"/>
        </w:rPr>
        <w:t>PT Delta Dunia Property Tbk.(DELTA)，一家在印度尼西亚证券交易所上市的印度尼西亚贸易公司，以8.5亿美元杠杆收购PT Bukit Makmur Mandiri Utama (BUMA)，印度尼西亚第二大矿业服务公司。杠杆收购包括由BUMA根据美国证券法144A规定和S规则发行的3.15亿美元的2014年到期的11.75%保证优先担保票据，巴克莱作为牵头行安排的2.5亿美元过桥贷款以及由DELTA控股股东根据144A规定和S规则进行的5.4亿美元的DELTA现有股份的次</w:t>
      </w:r>
      <w:r w:rsidRPr="00DA1147">
        <w:rPr>
          <w:rFonts w:ascii="宋体" w:eastAsia="宋体" w:hAnsi="Times New Roman" w:hint="eastAsia"/>
          <w:color w:val="000000"/>
        </w:rPr>
        <w:t>级股份配售。</w:t>
      </w:r>
    </w:p>
    <w:p w14:paraId="76C1D601" w14:textId="77777777" w:rsidR="00DA1147" w:rsidRDefault="00DA1147" w:rsidP="00DA1147">
      <w:pPr>
        <w:pStyle w:val="af5"/>
        <w:numPr>
          <w:ilvl w:val="0"/>
          <w:numId w:val="8"/>
        </w:numPr>
        <w:spacing w:before="120"/>
        <w:ind w:left="690" w:hanging="240"/>
        <w:rPr>
          <w:rFonts w:ascii="宋体" w:eastAsia="宋体" w:hAnsi="Times New Roman"/>
          <w:color w:val="000000"/>
        </w:rPr>
      </w:pPr>
      <w:r w:rsidRPr="00DA1147">
        <w:rPr>
          <w:rFonts w:ascii="宋体" w:eastAsia="宋体" w:hAnsi="Times New Roman" w:hint="eastAsia"/>
          <w:color w:val="000000"/>
        </w:rPr>
        <w:t>代表</w:t>
      </w:r>
      <w:r w:rsidRPr="00DA1147">
        <w:rPr>
          <w:rFonts w:ascii="宋体" w:eastAsia="宋体" w:hAnsi="Times New Roman"/>
          <w:color w:val="000000"/>
        </w:rPr>
        <w:t>Mizuho Asia Partners Ltd参与其对越南最大的健康与健身运营商之一California Fitness &amp; Yoga Centers的投资。</w:t>
      </w:r>
    </w:p>
    <w:p w14:paraId="491EB843" w14:textId="77777777" w:rsidR="00DA1147" w:rsidRDefault="00DA1147" w:rsidP="00DA1147">
      <w:pPr>
        <w:pStyle w:val="af5"/>
        <w:numPr>
          <w:ilvl w:val="0"/>
          <w:numId w:val="9"/>
        </w:numPr>
        <w:spacing w:before="120"/>
        <w:ind w:left="690" w:hanging="240"/>
        <w:rPr>
          <w:rFonts w:ascii="宋体" w:eastAsia="宋体" w:hAnsi="Times New Roman"/>
          <w:color w:val="000000"/>
        </w:rPr>
      </w:pPr>
      <w:r w:rsidRPr="00DA1147">
        <w:rPr>
          <w:rFonts w:ascii="宋体" w:eastAsia="宋体" w:hAnsi="Times New Roman" w:hint="eastAsia"/>
          <w:color w:val="000000"/>
        </w:rPr>
        <w:t>代表</w:t>
      </w:r>
      <w:r w:rsidRPr="00DA1147">
        <w:rPr>
          <w:rFonts w:ascii="宋体" w:eastAsia="宋体" w:hAnsi="Times New Roman"/>
          <w:color w:val="000000"/>
        </w:rPr>
        <w:t>J&amp; Partners Resources Limited，一家印度尼西亚投资基金，以2.2亿美元从英国矿业集团Avocet Group Limited杠杆收购黄金资产，包括在PT CIMB Niaga Tbk获得的1亿美元的担保收购融资贷款。</w:t>
      </w:r>
    </w:p>
    <w:p w14:paraId="60259D6C" w14:textId="77777777" w:rsidR="00DA1147" w:rsidRDefault="00DA1147" w:rsidP="00DA1147">
      <w:pPr>
        <w:pStyle w:val="af5"/>
        <w:numPr>
          <w:ilvl w:val="0"/>
          <w:numId w:val="10"/>
        </w:numPr>
        <w:spacing w:before="120"/>
        <w:ind w:left="690" w:hanging="240"/>
        <w:rPr>
          <w:rFonts w:ascii="宋体" w:eastAsia="宋体" w:hAnsi="Times New Roman"/>
          <w:color w:val="000000"/>
        </w:rPr>
      </w:pPr>
      <w:r w:rsidRPr="00DA1147">
        <w:rPr>
          <w:rFonts w:ascii="宋体" w:eastAsia="宋体" w:hAnsi="Times New Roman" w:hint="eastAsia"/>
          <w:color w:val="000000"/>
        </w:rPr>
        <w:t>代表中国国家开发银行为斯里兰卡共和国灌溉部和农业部水力发电站建设提供</w:t>
      </w:r>
      <w:r w:rsidRPr="00DA1147">
        <w:rPr>
          <w:rFonts w:ascii="宋体" w:eastAsia="宋体" w:hAnsi="Times New Roman"/>
          <w:color w:val="000000"/>
        </w:rPr>
        <w:t>2.5亿美元担保定期贷款项目。</w:t>
      </w:r>
    </w:p>
    <w:p w14:paraId="7CEF803A" w14:textId="77777777" w:rsidR="00DA1147" w:rsidRDefault="00DA1147" w:rsidP="00DA1147">
      <w:pPr>
        <w:pStyle w:val="af5"/>
        <w:numPr>
          <w:ilvl w:val="0"/>
          <w:numId w:val="11"/>
        </w:numPr>
        <w:spacing w:before="120"/>
        <w:ind w:left="690" w:hanging="240"/>
        <w:rPr>
          <w:rFonts w:ascii="宋体" w:eastAsia="宋体" w:hAnsi="Times New Roman"/>
          <w:color w:val="000000"/>
        </w:rPr>
      </w:pPr>
      <w:r w:rsidRPr="00DA1147">
        <w:rPr>
          <w:rFonts w:ascii="宋体" w:eastAsia="宋体" w:hAnsi="Times New Roman" w:hint="eastAsia"/>
          <w:color w:val="000000"/>
        </w:rPr>
        <w:t>为国电科技环保集团股份有限公司（一家国有清洁技术和可再生能源设备制造商及服务提供商），通过在香港联合交易所进行价值</w:t>
      </w:r>
      <w:r w:rsidRPr="00DA1147">
        <w:rPr>
          <w:rFonts w:ascii="宋体" w:eastAsia="宋体" w:hAnsi="Times New Roman"/>
          <w:color w:val="000000"/>
        </w:rPr>
        <w:t>3.75亿美元首次公开募股并上市进行部分私有化提供法律服务，其中包括根据美国证券法144A规定和S规则进行国际发行。</w:t>
      </w:r>
    </w:p>
    <w:p w14:paraId="674F2F86" w14:textId="77777777" w:rsidR="00DA1147" w:rsidRDefault="00DA1147" w:rsidP="00DA1147">
      <w:pPr>
        <w:pStyle w:val="af5"/>
        <w:numPr>
          <w:ilvl w:val="0"/>
          <w:numId w:val="12"/>
        </w:numPr>
        <w:spacing w:before="120"/>
        <w:ind w:left="690" w:hanging="240"/>
        <w:rPr>
          <w:rFonts w:ascii="宋体" w:eastAsia="宋体" w:hAnsi="Times New Roman"/>
          <w:color w:val="000000"/>
        </w:rPr>
      </w:pPr>
      <w:r w:rsidRPr="00DA1147">
        <w:rPr>
          <w:rFonts w:ascii="宋体" w:eastAsia="宋体" w:hAnsi="Times New Roman" w:hint="eastAsia"/>
          <w:color w:val="000000"/>
        </w:rPr>
        <w:t>为</w:t>
      </w:r>
      <w:r w:rsidRPr="00DA1147">
        <w:rPr>
          <w:rFonts w:ascii="宋体" w:eastAsia="宋体" w:hAnsi="Times New Roman"/>
          <w:color w:val="000000"/>
        </w:rPr>
        <w:t>SJVN Limited（一家印度国有水电公司，运营印度最大的水力发电项目</w:t>
      </w:r>
      <w:r w:rsidRPr="00DA1147">
        <w:rPr>
          <w:rFonts w:ascii="宋体" w:eastAsia="宋体" w:hAnsi="Times New Roman"/>
          <w:color w:val="000000"/>
        </w:rPr>
        <w:t>——</w:t>
      </w:r>
      <w:r w:rsidRPr="00DA1147">
        <w:rPr>
          <w:rFonts w:ascii="宋体" w:eastAsia="宋体" w:hAnsi="Times New Roman"/>
          <w:color w:val="000000"/>
        </w:rPr>
        <w:t>1,500兆瓦的Nathpa Jakhri水电站）通过在印度证券交易所进行2.5亿美元首次公开募股进行部分私有化提供法律服务，其中包括根据美国证券法144A规定和S规则进行国际发行。</w:t>
      </w:r>
    </w:p>
    <w:p w14:paraId="31E75731" w14:textId="77777777" w:rsidR="00DA1147" w:rsidRDefault="00DA1147" w:rsidP="00DA1147">
      <w:pPr>
        <w:pStyle w:val="af5"/>
        <w:numPr>
          <w:ilvl w:val="0"/>
          <w:numId w:val="13"/>
        </w:numPr>
        <w:spacing w:before="120"/>
        <w:ind w:left="690" w:hanging="240"/>
        <w:rPr>
          <w:rFonts w:ascii="宋体" w:eastAsia="宋体" w:hAnsi="Times New Roman"/>
          <w:color w:val="000000"/>
        </w:rPr>
      </w:pPr>
      <w:r w:rsidRPr="00DA1147">
        <w:rPr>
          <w:rFonts w:ascii="宋体" w:eastAsia="宋体" w:hAnsi="Times New Roman" w:hint="eastAsia"/>
          <w:color w:val="000000"/>
        </w:rPr>
        <w:t>作为新加坡法律顾问为</w:t>
      </w:r>
      <w:r w:rsidRPr="00DA1147">
        <w:rPr>
          <w:rFonts w:ascii="宋体" w:eastAsia="宋体" w:hAnsi="Times New Roman"/>
          <w:color w:val="000000"/>
        </w:rPr>
        <w:t>SunEdison Inc.在破产法第11章破产程序下涉及其新加坡和印度子公司及关联公司的重组和改组项目提供法律服务。</w:t>
      </w:r>
    </w:p>
    <w:p w14:paraId="663D3416" w14:textId="77777777" w:rsidR="00DA1147" w:rsidRDefault="00DA1147" w:rsidP="00DA1147">
      <w:pPr>
        <w:pStyle w:val="af5"/>
        <w:numPr>
          <w:ilvl w:val="0"/>
          <w:numId w:val="14"/>
        </w:numPr>
        <w:spacing w:before="120"/>
        <w:ind w:left="690" w:hanging="240"/>
        <w:rPr>
          <w:rFonts w:ascii="宋体" w:eastAsia="宋体" w:hAnsi="Times New Roman"/>
          <w:color w:val="000000"/>
        </w:rPr>
      </w:pPr>
      <w:r w:rsidRPr="00DA1147">
        <w:rPr>
          <w:rFonts w:ascii="宋体" w:eastAsia="宋体" w:hAnsi="Times New Roman" w:hint="eastAsia"/>
          <w:color w:val="000000"/>
        </w:rPr>
        <w:t>作为新加坡法律顾问为</w:t>
      </w:r>
      <w:r w:rsidRPr="00DA1147">
        <w:rPr>
          <w:rFonts w:ascii="宋体" w:eastAsia="宋体" w:hAnsi="Times New Roman"/>
          <w:color w:val="000000"/>
        </w:rPr>
        <w:t>SunEdison Inc.半导体业务部门的重组、分拆以及作为SunEdison Semiconductor Ltd在纳斯达克上市提供法律服务。</w:t>
      </w:r>
    </w:p>
    <w:p w14:paraId="4F5B7BCF" w14:textId="77777777" w:rsidR="00DA1147" w:rsidRDefault="00DA1147" w:rsidP="00DA1147">
      <w:pPr>
        <w:pStyle w:val="af5"/>
        <w:numPr>
          <w:ilvl w:val="0"/>
          <w:numId w:val="15"/>
        </w:numPr>
        <w:spacing w:before="120"/>
        <w:ind w:left="690" w:hanging="240"/>
        <w:rPr>
          <w:rFonts w:ascii="宋体" w:eastAsia="宋体" w:hAnsi="Times New Roman"/>
          <w:color w:val="000000"/>
        </w:rPr>
      </w:pPr>
      <w:r w:rsidRPr="00DA1147">
        <w:rPr>
          <w:rFonts w:ascii="宋体" w:eastAsia="宋体" w:hAnsi="Times New Roman" w:hint="eastAsia"/>
          <w:color w:val="000000"/>
        </w:rPr>
        <w:t>作为新加坡法律顾问为</w:t>
      </w:r>
      <w:r w:rsidRPr="00DA1147">
        <w:rPr>
          <w:rFonts w:ascii="宋体" w:eastAsia="宋体" w:hAnsi="Times New Roman"/>
          <w:color w:val="000000"/>
        </w:rPr>
        <w:t>SunEdison Semiconductor Ltd（一家新加坡半导体公司）在纳斯达克的首次公开募股以及后续两笔3亿美元的发行提供法律服务。</w:t>
      </w:r>
    </w:p>
    <w:p w14:paraId="62CDDB77" w14:textId="77777777" w:rsidR="00DA1147" w:rsidRDefault="00DA1147" w:rsidP="00DA1147">
      <w:pPr>
        <w:pStyle w:val="af5"/>
        <w:numPr>
          <w:ilvl w:val="0"/>
          <w:numId w:val="16"/>
        </w:numPr>
        <w:spacing w:before="120"/>
        <w:ind w:left="690" w:hanging="240"/>
        <w:rPr>
          <w:rFonts w:ascii="宋体" w:eastAsia="宋体" w:hAnsi="Times New Roman"/>
          <w:color w:val="000000"/>
        </w:rPr>
      </w:pPr>
      <w:r w:rsidRPr="00DA1147">
        <w:rPr>
          <w:rFonts w:ascii="宋体" w:eastAsia="宋体" w:hAnsi="Times New Roman" w:hint="eastAsia"/>
          <w:color w:val="000000"/>
        </w:rPr>
        <w:t>作为新加坡法律顾问为</w:t>
      </w:r>
      <w:r w:rsidRPr="00DA1147">
        <w:rPr>
          <w:rFonts w:ascii="宋体" w:eastAsia="宋体" w:hAnsi="Times New Roman"/>
          <w:color w:val="000000"/>
        </w:rPr>
        <w:t>SunEdison Semiconductor Ltd按照新加坡公司法下的安排计划以6.83亿美元被Global Wafers Inc.收购项目提供法律服务。</w:t>
      </w:r>
    </w:p>
    <w:p w14:paraId="1E50F4C2" w14:textId="77777777" w:rsidR="00DA1147" w:rsidRDefault="00DA1147" w:rsidP="00DA1147">
      <w:pPr>
        <w:pStyle w:val="af5"/>
        <w:spacing w:after="0" w:line="480" w:lineRule="auto"/>
        <w:rPr>
          <w:rFonts w:ascii="宋体" w:eastAsia="宋体" w:hAnsi="宋体"/>
          <w:b/>
          <w:sz w:val="24"/>
        </w:rPr>
      </w:pPr>
      <w:r w:rsidRPr="00DA1147">
        <w:rPr>
          <w:rFonts w:ascii="宋体" w:eastAsia="宋体" w:hAnsi="宋体" w:hint="eastAsia"/>
          <w:b/>
          <w:sz w:val="24"/>
        </w:rPr>
        <w:t>教育背景</w:t>
      </w:r>
    </w:p>
    <w:p w14:paraId="2BFD2BE3" w14:textId="77777777" w:rsidR="00DA1147" w:rsidRDefault="00DA1147" w:rsidP="00DA1147">
      <w:pPr>
        <w:pStyle w:val="af5"/>
        <w:numPr>
          <w:ilvl w:val="0"/>
          <w:numId w:val="17"/>
        </w:numPr>
        <w:spacing w:before="120"/>
        <w:ind w:left="690" w:hanging="240"/>
        <w:rPr>
          <w:rFonts w:ascii="宋体" w:eastAsia="宋体" w:hAnsi="Times New Roman"/>
          <w:color w:val="000000"/>
        </w:rPr>
      </w:pPr>
      <w:r w:rsidRPr="00DA1147">
        <w:rPr>
          <w:rFonts w:ascii="宋体" w:eastAsia="宋体" w:hAnsi="Times New Roman" w:hint="eastAsia"/>
          <w:color w:val="000000"/>
        </w:rPr>
        <w:t>新加坡国立大学，新加坡法硕士研究生</w:t>
      </w:r>
    </w:p>
    <w:p w14:paraId="1ADDB258" w14:textId="77777777" w:rsidR="00DA1147" w:rsidRDefault="00DA1147" w:rsidP="00DA1147">
      <w:pPr>
        <w:pStyle w:val="af5"/>
        <w:numPr>
          <w:ilvl w:val="0"/>
          <w:numId w:val="18"/>
        </w:numPr>
        <w:spacing w:before="120"/>
        <w:ind w:left="690" w:hanging="240"/>
        <w:rPr>
          <w:rFonts w:ascii="宋体" w:eastAsia="宋体" w:hAnsi="Times New Roman"/>
          <w:color w:val="000000"/>
        </w:rPr>
      </w:pPr>
      <w:r w:rsidRPr="00DA1147">
        <w:rPr>
          <w:rFonts w:ascii="宋体" w:eastAsia="宋体" w:hAnsi="Times New Roman" w:hint="eastAsia"/>
          <w:color w:val="000000"/>
        </w:rPr>
        <w:t>伦敦国王学院，国际商法法学硕士</w:t>
      </w:r>
    </w:p>
    <w:p w14:paraId="70C37CB3" w14:textId="77777777" w:rsidR="00DA1147" w:rsidRDefault="00DA1147" w:rsidP="00DA1147">
      <w:pPr>
        <w:pStyle w:val="af5"/>
        <w:numPr>
          <w:ilvl w:val="0"/>
          <w:numId w:val="19"/>
        </w:numPr>
        <w:spacing w:before="120"/>
        <w:ind w:left="690" w:hanging="240"/>
        <w:rPr>
          <w:rFonts w:ascii="宋体" w:eastAsia="宋体" w:hAnsi="Times New Roman"/>
          <w:color w:val="000000"/>
        </w:rPr>
      </w:pPr>
      <w:r w:rsidRPr="00DA1147">
        <w:rPr>
          <w:rFonts w:ascii="宋体" w:eastAsia="宋体" w:hAnsi="Times New Roman" w:hint="eastAsia"/>
          <w:color w:val="000000"/>
        </w:rPr>
        <w:t>伦敦国王学院，法学学士（荣誉毕业）</w:t>
      </w:r>
    </w:p>
    <w:p w14:paraId="172272A7" w14:textId="77777777" w:rsidR="00DA1147" w:rsidRDefault="00DA1147" w:rsidP="00DA1147">
      <w:pPr>
        <w:pStyle w:val="af5"/>
        <w:spacing w:after="0" w:line="480" w:lineRule="auto"/>
        <w:rPr>
          <w:rFonts w:ascii="宋体" w:eastAsia="宋体" w:hAnsi="宋体"/>
          <w:b/>
          <w:sz w:val="24"/>
        </w:rPr>
      </w:pPr>
      <w:r w:rsidRPr="00DA1147">
        <w:rPr>
          <w:rFonts w:ascii="宋体" w:eastAsia="宋体" w:hAnsi="宋体" w:hint="eastAsia"/>
          <w:b/>
          <w:sz w:val="24"/>
        </w:rPr>
        <w:t>执业资格</w:t>
      </w:r>
    </w:p>
    <w:p w14:paraId="377E2EA5" w14:textId="77777777" w:rsidR="00DA1147" w:rsidRDefault="00DA1147" w:rsidP="00DA1147">
      <w:pPr>
        <w:pStyle w:val="af5"/>
        <w:numPr>
          <w:ilvl w:val="0"/>
          <w:numId w:val="20"/>
        </w:numPr>
        <w:spacing w:before="120"/>
        <w:ind w:left="690" w:hanging="240"/>
        <w:rPr>
          <w:rFonts w:ascii="宋体" w:eastAsia="宋体" w:hAnsi="Times New Roman"/>
          <w:color w:val="000000"/>
        </w:rPr>
      </w:pPr>
      <w:r w:rsidRPr="00DA1147">
        <w:rPr>
          <w:rFonts w:ascii="宋体" w:eastAsia="宋体" w:hAnsi="Times New Roman" w:hint="eastAsia"/>
          <w:color w:val="000000"/>
        </w:rPr>
        <w:t>新加坡执业律师资格</w:t>
      </w:r>
    </w:p>
    <w:p w14:paraId="75EC3077" w14:textId="77777777" w:rsidR="00DA1147" w:rsidRDefault="00DA1147" w:rsidP="00DA1147">
      <w:pPr>
        <w:pStyle w:val="af5"/>
        <w:numPr>
          <w:ilvl w:val="0"/>
          <w:numId w:val="21"/>
        </w:numPr>
        <w:spacing w:before="120"/>
        <w:ind w:left="690" w:hanging="240"/>
        <w:rPr>
          <w:rFonts w:ascii="宋体" w:eastAsia="宋体" w:hAnsi="Times New Roman"/>
          <w:color w:val="000000"/>
        </w:rPr>
      </w:pPr>
      <w:r w:rsidRPr="00DA1147">
        <w:rPr>
          <w:rFonts w:ascii="宋体" w:eastAsia="宋体" w:hAnsi="Times New Roman" w:hint="eastAsia"/>
          <w:color w:val="000000"/>
        </w:rPr>
        <w:t>美国纽约州执业律师资格</w:t>
      </w:r>
    </w:p>
    <w:p w14:paraId="3488615C" w14:textId="77777777" w:rsidR="00DA1147" w:rsidRDefault="00DA1147" w:rsidP="00DA1147">
      <w:pPr>
        <w:pStyle w:val="af5"/>
        <w:numPr>
          <w:ilvl w:val="0"/>
          <w:numId w:val="22"/>
        </w:numPr>
        <w:spacing w:before="120"/>
        <w:ind w:left="690" w:hanging="240"/>
        <w:rPr>
          <w:rFonts w:ascii="宋体" w:eastAsia="宋体" w:hAnsi="Times New Roman"/>
          <w:color w:val="000000"/>
        </w:rPr>
      </w:pPr>
      <w:r w:rsidRPr="00DA1147">
        <w:rPr>
          <w:rFonts w:ascii="宋体" w:eastAsia="宋体" w:hAnsi="Times New Roman" w:hint="eastAsia"/>
          <w:color w:val="000000"/>
        </w:rPr>
        <w:t>英格兰和威尔士执业律师资格</w:t>
      </w:r>
    </w:p>
    <w:p w14:paraId="63ECE058" w14:textId="77777777" w:rsidR="00DA1147" w:rsidRDefault="00DA1147" w:rsidP="00DA1147">
      <w:pPr>
        <w:pStyle w:val="af5"/>
        <w:spacing w:after="0" w:line="480" w:lineRule="auto"/>
        <w:rPr>
          <w:rFonts w:ascii="宋体" w:eastAsia="宋体" w:hAnsi="宋体"/>
          <w:b/>
          <w:sz w:val="24"/>
        </w:rPr>
      </w:pPr>
      <w:r w:rsidRPr="00DA1147">
        <w:rPr>
          <w:rFonts w:ascii="宋体" w:eastAsia="宋体" w:hAnsi="宋体" w:hint="eastAsia"/>
          <w:b/>
          <w:sz w:val="24"/>
        </w:rPr>
        <w:t>职业背景</w:t>
      </w:r>
    </w:p>
    <w:p w14:paraId="4F0A196B" w14:textId="11677E91" w:rsidR="00A46A04" w:rsidRPr="00DA1147" w:rsidRDefault="00DA1147" w:rsidP="00DA1147">
      <w:pPr>
        <w:pStyle w:val="af5"/>
        <w:numPr>
          <w:ilvl w:val="0"/>
          <w:numId w:val="23"/>
        </w:numPr>
        <w:spacing w:before="120"/>
        <w:ind w:left="690" w:hanging="240"/>
        <w:rPr>
          <w:rFonts w:ascii="宋体" w:eastAsia="宋体" w:hAnsi="Times New Roman"/>
          <w:color w:val="000000"/>
        </w:rPr>
      </w:pPr>
      <w:r w:rsidRPr="00DA1147">
        <w:rPr>
          <w:rFonts w:ascii="宋体" w:eastAsia="宋体" w:hAnsi="Times New Roman" w:hint="eastAsia"/>
          <w:color w:val="000000"/>
        </w:rPr>
        <w:t>陈律师曾代表众多客户参与主要位于东南亚地区的合资、并购和资本市场交易。在加入方达律师事务所之前，她曾在多家顶尖国际律师事务所的新加坡办公室执业。</w:t>
      </w:r>
    </w:p>
    <w:sectPr w:rsidR="00A46A04" w:rsidRPr="00DA114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D1E8F"/>
    <w:multiLevelType w:val="singleLevel"/>
    <w:tmpl w:val="2340CB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627F50"/>
    <w:multiLevelType w:val="singleLevel"/>
    <w:tmpl w:val="8BD62C2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4D030C"/>
    <w:multiLevelType w:val="singleLevel"/>
    <w:tmpl w:val="745C87D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E01C39"/>
    <w:multiLevelType w:val="singleLevel"/>
    <w:tmpl w:val="D9B81D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3C6215"/>
    <w:multiLevelType w:val="singleLevel"/>
    <w:tmpl w:val="22C07A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4A65C6"/>
    <w:multiLevelType w:val="singleLevel"/>
    <w:tmpl w:val="77C4F69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26E6814"/>
    <w:multiLevelType w:val="singleLevel"/>
    <w:tmpl w:val="6F08F0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61F10AD"/>
    <w:multiLevelType w:val="singleLevel"/>
    <w:tmpl w:val="9ADC50F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FE04633"/>
    <w:multiLevelType w:val="singleLevel"/>
    <w:tmpl w:val="96247DF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E776F61"/>
    <w:multiLevelType w:val="singleLevel"/>
    <w:tmpl w:val="16EEEBF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F165494"/>
    <w:multiLevelType w:val="singleLevel"/>
    <w:tmpl w:val="E7483AF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C8F2194"/>
    <w:multiLevelType w:val="singleLevel"/>
    <w:tmpl w:val="295275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DD3361F"/>
    <w:multiLevelType w:val="singleLevel"/>
    <w:tmpl w:val="6B5C498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E4E127D"/>
    <w:multiLevelType w:val="singleLevel"/>
    <w:tmpl w:val="C154620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2DC59B2"/>
    <w:multiLevelType w:val="singleLevel"/>
    <w:tmpl w:val="216473D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4F54D7A"/>
    <w:multiLevelType w:val="singleLevel"/>
    <w:tmpl w:val="61FC8CD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AB15DC2"/>
    <w:multiLevelType w:val="singleLevel"/>
    <w:tmpl w:val="2A26410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26D21C0"/>
    <w:multiLevelType w:val="singleLevel"/>
    <w:tmpl w:val="94DC4F8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30A26BC"/>
    <w:multiLevelType w:val="singleLevel"/>
    <w:tmpl w:val="94DC4F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431D55"/>
    <w:multiLevelType w:val="singleLevel"/>
    <w:tmpl w:val="BC024A7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FE2435F"/>
    <w:multiLevelType w:val="singleLevel"/>
    <w:tmpl w:val="E57C5352"/>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15"/>
  </w:num>
  <w:num w:numId="4">
    <w:abstractNumId w:val="4"/>
  </w:num>
  <w:num w:numId="5">
    <w:abstractNumId w:val="13"/>
  </w:num>
  <w:num w:numId="6">
    <w:abstractNumId w:val="14"/>
  </w:num>
  <w:num w:numId="7">
    <w:abstractNumId w:val="7"/>
  </w:num>
  <w:num w:numId="8">
    <w:abstractNumId w:val="12"/>
  </w:num>
  <w:num w:numId="9">
    <w:abstractNumId w:val="11"/>
  </w:num>
  <w:num w:numId="10">
    <w:abstractNumId w:val="3"/>
  </w:num>
  <w:num w:numId="11">
    <w:abstractNumId w:val="2"/>
  </w:num>
  <w:num w:numId="12">
    <w:abstractNumId w:val="1"/>
  </w:num>
  <w:num w:numId="13">
    <w:abstractNumId w:val="0"/>
  </w:num>
  <w:num w:numId="14">
    <w:abstractNumId w:val="17"/>
  </w:num>
  <w:num w:numId="15">
    <w:abstractNumId w:val="16"/>
  </w:num>
  <w:num w:numId="16">
    <w:abstractNumId w:val="8"/>
  </w:num>
  <w:num w:numId="17">
    <w:abstractNumId w:val="22"/>
  </w:num>
  <w:num w:numId="18">
    <w:abstractNumId w:val="21"/>
  </w:num>
  <w:num w:numId="19">
    <w:abstractNumId w:val="5"/>
  </w:num>
  <w:num w:numId="20">
    <w:abstractNumId w:val="18"/>
  </w:num>
  <w:num w:numId="21">
    <w:abstractNumId w:val="10"/>
  </w:num>
  <w:num w:numId="22">
    <w:abstractNumId w:val="19"/>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1147"/>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A1147"/>
    <w:pPr>
      <w:spacing w:after="120"/>
    </w:pPr>
  </w:style>
  <w:style w:type="character" w:customStyle="1" w:styleId="af6">
    <w:name w:val="正文文本 字符"/>
    <w:basedOn w:val="a0"/>
    <w:link w:val="af5"/>
    <w:uiPriority w:val="99"/>
    <w:rsid w:val="00DA114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0E459-5C61-4FD3-9527-175EE0DFF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2026-07-24T18:33:00Z</dcterms:created>
  <dcterms:modified xsi:type="dcterms:W3CDTF">2026-07-24T18:33:00Z</dcterms:modified>
</cp:coreProperties>
</file>