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97D36E4" w:rsidR="0049405C" w:rsidRPr="00187BAA" w:rsidRDefault="007545E0" w:rsidP="007545E0">
            <w:pPr>
              <w:spacing w:line="720" w:lineRule="auto"/>
              <w:rPr>
                <w:rFonts w:ascii="宋体" w:eastAsia="宋体" w:hAnsi="宋体"/>
                <w:color w:val="545551"/>
              </w:rPr>
            </w:pPr>
            <w:bookmarkStart w:id="0" w:name="xingming"/>
            <w:bookmarkStart w:id="1" w:name="_GoBack"/>
            <w:bookmarkEnd w:id="1"/>
            <w:r w:rsidRPr="007545E0">
              <w:rPr>
                <w:rFonts w:ascii="宋体" w:eastAsia="宋体" w:hAnsi="Times New Roman" w:hint="eastAsia"/>
                <w:b/>
                <w:color w:val="000000"/>
                <w:sz w:val="48"/>
              </w:rPr>
              <w:t>齐轩霆</w:t>
            </w:r>
            <w:bookmarkEnd w:id="0"/>
          </w:p>
          <w:p w14:paraId="706EB16B" w14:textId="13AF982E" w:rsidR="0049405C" w:rsidRPr="00187BAA" w:rsidRDefault="007545E0" w:rsidP="007545E0">
            <w:pPr>
              <w:spacing w:line="360" w:lineRule="auto"/>
              <w:rPr>
                <w:rFonts w:ascii="宋体" w:eastAsia="宋体" w:hAnsi="宋体"/>
                <w:b/>
                <w:bCs/>
                <w:color w:val="545551"/>
              </w:rPr>
            </w:pPr>
            <w:bookmarkStart w:id="2" w:name="didian"/>
            <w:r w:rsidRPr="007545E0">
              <w:rPr>
                <w:rFonts w:ascii="宋体" w:eastAsia="宋体" w:hAnsi="Times New Roman" w:hint="eastAsia"/>
                <w:b/>
                <w:bCs/>
                <w:color w:val="000000"/>
              </w:rPr>
              <w:t>合伙人·上海</w:t>
            </w:r>
            <w:bookmarkEnd w:id="2"/>
          </w:p>
          <w:p w14:paraId="6199424A" w14:textId="526DDDE6" w:rsidR="0049405C" w:rsidRPr="00187BAA" w:rsidRDefault="007545E0" w:rsidP="007545E0">
            <w:pPr>
              <w:spacing w:line="360" w:lineRule="auto"/>
              <w:rPr>
                <w:rFonts w:ascii="宋体" w:eastAsia="宋体" w:hAnsi="宋体"/>
                <w:color w:val="545551"/>
              </w:rPr>
            </w:pPr>
            <w:bookmarkStart w:id="3" w:name="dianhua"/>
            <w:r w:rsidRPr="007545E0">
              <w:rPr>
                <w:rFonts w:ascii="宋体" w:eastAsia="宋体" w:hAnsi="Times New Roman"/>
                <w:color w:val="000000"/>
              </w:rPr>
              <w:t xml:space="preserve">+86 21 2208 1005 </w:t>
            </w:r>
            <w:bookmarkEnd w:id="3"/>
          </w:p>
          <w:p w14:paraId="4F910ACA" w14:textId="5BE69B71" w:rsidR="0049405C" w:rsidRPr="00187BAA" w:rsidRDefault="007545E0" w:rsidP="007545E0">
            <w:pPr>
              <w:spacing w:line="360" w:lineRule="auto"/>
              <w:rPr>
                <w:rFonts w:ascii="宋体" w:eastAsia="宋体" w:hAnsi="宋体"/>
                <w:color w:val="000000"/>
              </w:rPr>
            </w:pPr>
            <w:bookmarkStart w:id="4" w:name="youxiang"/>
            <w:r w:rsidRPr="007545E0">
              <w:rPr>
                <w:rFonts w:ascii="宋体" w:eastAsia="宋体" w:hAnsi="Times New Roman"/>
                <w:color w:val="000000"/>
              </w:rPr>
              <w:t>mqi@fangdalaw.com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3A2C579" w:rsidR="0049405C" w:rsidRPr="00187BAA" w:rsidRDefault="007545E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67E7904" wp14:editId="392A5F8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01521A4" w:rsidR="009465FB" w:rsidRPr="00187BAA" w:rsidRDefault="007545E0" w:rsidP="007177F3">
            <w:pPr>
              <w:rPr>
                <w:rFonts w:ascii="宋体" w:eastAsia="宋体" w:hAnsi="宋体"/>
                <w:color w:val="000000"/>
                <w:szCs w:val="21"/>
              </w:rPr>
            </w:pPr>
            <w:bookmarkStart w:id="6" w:name="zhiyelingyu"/>
            <w:r w:rsidRPr="007545E0">
              <w:rPr>
                <w:rFonts w:ascii="宋体" w:eastAsia="宋体" w:hAnsi="Times New Roman" w:hint="eastAsia"/>
                <w:color w:val="000000"/>
                <w:szCs w:val="21"/>
              </w:rPr>
              <w:t>齐轩霆律师执业领域专注于公司投融资交易，包括私募股权募集</w:t>
            </w:r>
            <w:r w:rsidRPr="007545E0">
              <w:rPr>
                <w:rFonts w:ascii="宋体" w:eastAsia="宋体" w:hAnsi="Times New Roman"/>
                <w:color w:val="000000"/>
                <w:szCs w:val="21"/>
              </w:rPr>
              <w:t>/投资/管理/退出，境内外收购兼并重组，公募资本市场，及新兴产业法律事务。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E1949DF" w14:textId="77777777" w:rsidR="007545E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5EA0789" w14:textId="77777777" w:rsidR="007545E0" w:rsidRDefault="007545E0" w:rsidP="007545E0">
      <w:pPr>
        <w:pStyle w:val="af5"/>
        <w:spacing w:before="120"/>
        <w:rPr>
          <w:rFonts w:ascii="宋体" w:eastAsia="宋体" w:hAnsi="Times New Roman"/>
          <w:color w:val="000000"/>
        </w:rPr>
      </w:pPr>
      <w:r w:rsidRPr="007545E0">
        <w:rPr>
          <w:rFonts w:ascii="宋体" w:eastAsia="宋体" w:hAnsi="Times New Roman" w:hint="eastAsia"/>
          <w:color w:val="000000"/>
        </w:rPr>
        <w:t>齐律师是方达的创始成员之一，在中国和美国有</w:t>
      </w:r>
      <w:r w:rsidRPr="007545E0">
        <w:rPr>
          <w:rFonts w:ascii="宋体" w:eastAsia="宋体" w:hAnsi="Times New Roman"/>
          <w:color w:val="000000"/>
        </w:rPr>
        <w:t>25年以上执业经验。从2000年起至2020年齐律师连年被包括Chambers Asia（钱伯斯亚洲），IFLR 1000（国际金融法律评论），AsiaLaw &amp; Practice（亚洲法律与实践），Legal 500（律界500强），Asian Private Equity（亚洲私募股权）在内的国际或区域性机构评为在风险投资、并购/重组/外商投资、公开资本市场、电信/媒体/科技等领域的领先律师，被钱伯斯亚洲评为私募股权领域的业界贤达。</w:t>
      </w:r>
    </w:p>
    <w:p w14:paraId="5C7565DF" w14:textId="77777777" w:rsidR="007545E0" w:rsidRDefault="007545E0" w:rsidP="007545E0">
      <w:pPr>
        <w:pStyle w:val="af5"/>
        <w:spacing w:after="0" w:line="480" w:lineRule="auto"/>
        <w:rPr>
          <w:rFonts w:ascii="宋体" w:eastAsia="宋体" w:hAnsi="宋体"/>
          <w:b/>
          <w:sz w:val="24"/>
        </w:rPr>
      </w:pPr>
      <w:r w:rsidRPr="007545E0">
        <w:rPr>
          <w:rFonts w:ascii="宋体" w:eastAsia="宋体" w:hAnsi="宋体" w:hint="eastAsia"/>
          <w:b/>
          <w:sz w:val="24"/>
        </w:rPr>
        <w:t>近期代理的主要案件</w:t>
      </w:r>
    </w:p>
    <w:p w14:paraId="26F7D2A7" w14:textId="77777777" w:rsidR="007545E0" w:rsidRDefault="007545E0" w:rsidP="007545E0">
      <w:pPr>
        <w:pStyle w:val="af5"/>
        <w:spacing w:before="120"/>
        <w:rPr>
          <w:rFonts w:ascii="宋体" w:eastAsia="宋体" w:hAnsi="Times New Roman"/>
          <w:color w:val="000000"/>
        </w:rPr>
      </w:pPr>
      <w:r w:rsidRPr="007545E0">
        <w:rPr>
          <w:rFonts w:ascii="宋体" w:eastAsia="宋体" w:hAnsi="Times New Roman" w:hint="eastAsia"/>
          <w:color w:val="000000"/>
        </w:rPr>
        <w:t>私募股权投资</w:t>
      </w:r>
    </w:p>
    <w:p w14:paraId="4FA2C545" w14:textId="77777777" w:rsidR="007545E0" w:rsidRDefault="007545E0" w:rsidP="007545E0">
      <w:pPr>
        <w:pStyle w:val="af5"/>
        <w:numPr>
          <w:ilvl w:val="0"/>
          <w:numId w:val="4"/>
        </w:numPr>
        <w:spacing w:before="120"/>
        <w:ind w:left="690" w:hanging="240"/>
        <w:rPr>
          <w:rFonts w:ascii="宋体" w:eastAsia="宋体" w:hAnsi="Times New Roman"/>
          <w:color w:val="000000"/>
        </w:rPr>
      </w:pPr>
      <w:r w:rsidRPr="007545E0">
        <w:rPr>
          <w:rFonts w:ascii="宋体" w:eastAsia="宋体" w:hAnsi="Times New Roman" w:hint="eastAsia"/>
          <w:color w:val="000000"/>
        </w:rPr>
        <w:t>为人民币或美元基金对境内外高科技互联移动媒体电信、文化体育娱乐消费、生物医药等新兴行业的投资提供服务。如历年代表红杉资本对京东物流、拼多多、智加科技、贝店电商、喔趣、毒的投资，华平资本对安能物流、大搜车、链家、和孩子王的重组和投资以及与药明明码合资成立的众码解兮基因检测，鼎晖资本对图森</w:t>
      </w:r>
      <w:r w:rsidRPr="007545E0">
        <w:rPr>
          <w:rFonts w:ascii="宋体" w:eastAsia="宋体" w:hAnsi="Times New Roman"/>
          <w:color w:val="000000"/>
        </w:rPr>
        <w:t>AI的投资，泰山资本对地上铁、天健华夏医疗、联合水务等的投资，维恩资本对云账房的投资，方源资本对太平鸟服饰、房多多、康顺4S、钻石小鸟、宇星科技的股权投资，弘毅资本对新奥能源、海昌主题公园和尚世影业的投资，淡马锡对中策轮胎和</w:t>
      </w:r>
      <w:r w:rsidRPr="007545E0">
        <w:rPr>
          <w:rFonts w:ascii="宋体" w:eastAsia="宋体" w:hAnsi="Times New Roman" w:hint="eastAsia"/>
          <w:color w:val="000000"/>
        </w:rPr>
        <w:t>盛大文学的投资，马来西亚国库投资对我来贷的投资，</w:t>
      </w:r>
      <w:r w:rsidRPr="007545E0">
        <w:rPr>
          <w:rFonts w:ascii="宋体" w:eastAsia="宋体" w:hAnsi="Times New Roman"/>
          <w:color w:val="000000"/>
        </w:rPr>
        <w:t>AIF对澳盛材料的投资，以及在高成长企业风险投资如美团网、磨铁文化、易买工品、连咖啡、翼依医疗、长光华医、芙艾美容、康大预诊、康晟智云、银泰医疗、必欧瀚、超级课程表、四季教育、美图秀秀、啦啦啵啵、韩都衣舍、蘑菇街、美丽说、快图浏览、音乐笔记、盛世云图、快的打车、车易拍、安个家、运满满、车易淘、要出发、挖财、邻趣、青客、兴容通讯、零号线、雪球财经、米洛科技、开讯视频、正尚网、驴妈妈、土巴兔、米兰网、聚美、传漾、傲天、好乐买、马萨玛索、当乐网、奥比岛、优酷网、一</w:t>
      </w:r>
      <w:r w:rsidRPr="007545E0">
        <w:rPr>
          <w:rFonts w:ascii="宋体" w:eastAsia="宋体" w:hAnsi="Times New Roman" w:hint="eastAsia"/>
          <w:color w:val="000000"/>
        </w:rPr>
        <w:t>嗨租车、一兆韦德、一茶一坐、七十二街、天游游戏、起凡游戏、新易传媒、新英体育、银润传媒、华谊兄弟的融资中代表公司或投资者如华平、方源、鼎晖、红杉、海纳、经纬、启明、泰山、弘毅、凯雷、晨星、凯辉、辰德、云启等基金。</w:t>
      </w:r>
    </w:p>
    <w:p w14:paraId="69F38E33" w14:textId="77777777" w:rsidR="007545E0" w:rsidRDefault="007545E0" w:rsidP="007545E0">
      <w:pPr>
        <w:pStyle w:val="af5"/>
        <w:spacing w:before="120"/>
        <w:rPr>
          <w:rFonts w:ascii="宋体" w:eastAsia="宋体" w:hAnsi="Times New Roman"/>
          <w:color w:val="000000"/>
        </w:rPr>
      </w:pPr>
      <w:r w:rsidRPr="007545E0">
        <w:rPr>
          <w:rFonts w:ascii="宋体" w:eastAsia="宋体" w:hAnsi="Times New Roman" w:hint="eastAsia"/>
          <w:color w:val="000000"/>
        </w:rPr>
        <w:t>公募资本市场</w:t>
      </w:r>
    </w:p>
    <w:p w14:paraId="25CE2495" w14:textId="77777777" w:rsidR="007545E0" w:rsidRDefault="007545E0" w:rsidP="007545E0">
      <w:pPr>
        <w:pStyle w:val="af5"/>
        <w:numPr>
          <w:ilvl w:val="0"/>
          <w:numId w:val="5"/>
        </w:numPr>
        <w:spacing w:before="120"/>
        <w:ind w:left="690" w:hanging="240"/>
        <w:rPr>
          <w:rFonts w:ascii="宋体" w:eastAsia="宋体" w:hAnsi="Times New Roman"/>
          <w:color w:val="000000"/>
        </w:rPr>
      </w:pPr>
      <w:r w:rsidRPr="007545E0">
        <w:rPr>
          <w:rFonts w:ascii="宋体" w:eastAsia="宋体" w:hAnsi="Times New Roman" w:hint="eastAsia"/>
          <w:color w:val="000000"/>
        </w:rPr>
        <w:t>除在进行中的多个上市项目外，为灿谷管理、易居中国、四季教育、信而富、瑞慈医疗、钜派理财、乐居地产、迅雷看看、海昌旅游、唯品会、多玩游戏、爱康国宾、分众传媒、澜起科技、凤凰新媒体、易居中国、世纪佳缘、中房信息、尚华医药、天合光能、克丽丝汀饼屋、利农国际、乡村基餐饮、畅丰车桥、旭瑞光电、航美传媒、科通集团、中芯国际、众品实业等各类企业担任发行人或承销商中国律师进行境外上市前重组和红筹架构搭建、公开上市发行股份债券和或上市后续发售的交易；作为高盛、美林、德银、大摩、瑞银、瑞信、花旗集团、百富勤、巴克莱、摩根大通、华兴资本等券商律师为上市项目提供法律服务。</w:t>
      </w:r>
    </w:p>
    <w:p w14:paraId="42F4B1FB" w14:textId="77777777" w:rsidR="007545E0" w:rsidRDefault="007545E0" w:rsidP="007545E0">
      <w:pPr>
        <w:pStyle w:val="af5"/>
        <w:spacing w:before="120"/>
        <w:rPr>
          <w:rFonts w:ascii="宋体" w:eastAsia="宋体" w:hAnsi="Times New Roman"/>
          <w:color w:val="000000"/>
        </w:rPr>
      </w:pPr>
      <w:r w:rsidRPr="007545E0">
        <w:rPr>
          <w:rFonts w:ascii="宋体" w:eastAsia="宋体" w:hAnsi="Times New Roman" w:hint="eastAsia"/>
          <w:color w:val="000000"/>
        </w:rPr>
        <w:t>收购兼并重组</w:t>
      </w:r>
    </w:p>
    <w:p w14:paraId="2BD37ABE" w14:textId="77777777" w:rsidR="007545E0" w:rsidRDefault="007545E0" w:rsidP="007545E0">
      <w:pPr>
        <w:pStyle w:val="af5"/>
        <w:numPr>
          <w:ilvl w:val="0"/>
          <w:numId w:val="6"/>
        </w:numPr>
        <w:spacing w:before="120"/>
        <w:ind w:left="690" w:hanging="240"/>
        <w:rPr>
          <w:rFonts w:ascii="宋体" w:eastAsia="宋体" w:hAnsi="Times New Roman"/>
          <w:color w:val="000000"/>
        </w:rPr>
      </w:pPr>
      <w:r w:rsidRPr="007545E0">
        <w:rPr>
          <w:rFonts w:ascii="宋体" w:eastAsia="宋体" w:hAnsi="Times New Roman" w:hint="eastAsia"/>
          <w:color w:val="000000"/>
        </w:rPr>
        <w:t>为境内外各类并购重组交易从合规合约、融资配资、税务效率、上市衔接等方面提供法律服务，包括（</w:t>
      </w:r>
      <w:r w:rsidRPr="007545E0">
        <w:rPr>
          <w:rFonts w:ascii="宋体" w:eastAsia="宋体" w:hAnsi="Times New Roman"/>
          <w:color w:val="000000"/>
        </w:rPr>
        <w:t>i）境内A股上市公司的重大资产收购和外资战略投资交易，量子高科收购睿智化学，赛科星生物收购华夏基耐部分资产，上风高科收购宇星科技，弘毅资本对上海城投的外资战投，方源资本对科华生物的外资战投，以及正进行中的多项涉及A股上市公司的资产并购和配套融资，（ii）境外红筹上市公司资产收购如前程无忧对高顿教育的收购，YY对多个境内外教育行业企业的投资与收购，携程对在线旅游平台和票务公司的收购，以及易居中国、天合光能、分众传媒、如</w:t>
      </w:r>
      <w:r w:rsidRPr="007545E0">
        <w:rPr>
          <w:rFonts w:ascii="宋体" w:eastAsia="宋体" w:hAnsi="Times New Roman" w:hint="eastAsia"/>
          <w:color w:val="000000"/>
        </w:rPr>
        <w:t>家的诸多并购交易，</w:t>
      </w:r>
      <w:r w:rsidRPr="007545E0">
        <w:rPr>
          <w:rFonts w:ascii="宋体" w:eastAsia="宋体" w:hAnsi="Times New Roman"/>
          <w:color w:val="000000"/>
        </w:rPr>
        <w:t>58同城对安居客的收购，滴滴和快的的合并，（iii）境外红筹上市公司的私有化如分众传媒、爱康国宾、尚华医药、中房信息、金丰易居、博纳影业以及后续以A股上市为目的的红筹落地重组，（iv）非上市产业企业之间的购并重组交易，安能物流分拆整合和多轮融资，福斐3D打印和宁波自行车零件企业向美国企业的股权出售，中芯国际和摩托罗拉之间的股权资产跨境置换，银河控股对红泥化妆品的收购，阿尔卡特上海贝尔对大唐电信的战略投资，通用电气对东海石英的收购，AATI对IP Core 的收购，平安保险拟议的对国有大型</w:t>
      </w:r>
      <w:r w:rsidRPr="007545E0">
        <w:rPr>
          <w:rFonts w:ascii="宋体" w:eastAsia="宋体" w:hAnsi="Times New Roman" w:hint="eastAsia"/>
          <w:color w:val="000000"/>
        </w:rPr>
        <w:t>电信企业的战略投资。上述多个项目获评年度交易大奖。</w:t>
      </w:r>
    </w:p>
    <w:p w14:paraId="0BBEE08B" w14:textId="77777777" w:rsidR="007545E0" w:rsidRDefault="007545E0" w:rsidP="007545E0">
      <w:pPr>
        <w:pStyle w:val="af5"/>
        <w:spacing w:before="120"/>
        <w:rPr>
          <w:rFonts w:ascii="宋体" w:eastAsia="宋体" w:hAnsi="Times New Roman"/>
          <w:color w:val="000000"/>
        </w:rPr>
      </w:pPr>
      <w:r w:rsidRPr="007545E0">
        <w:rPr>
          <w:rFonts w:ascii="宋体" w:eastAsia="宋体" w:hAnsi="Times New Roman" w:hint="eastAsia"/>
          <w:color w:val="000000"/>
        </w:rPr>
        <w:t>股权基金设立</w:t>
      </w:r>
    </w:p>
    <w:p w14:paraId="4834F103" w14:textId="77777777" w:rsidR="007545E0" w:rsidRDefault="007545E0" w:rsidP="007545E0">
      <w:pPr>
        <w:pStyle w:val="af5"/>
        <w:numPr>
          <w:ilvl w:val="0"/>
          <w:numId w:val="7"/>
        </w:numPr>
        <w:spacing w:before="120"/>
        <w:ind w:left="690" w:hanging="240"/>
        <w:rPr>
          <w:rFonts w:ascii="宋体" w:eastAsia="宋体" w:hAnsi="Times New Roman"/>
          <w:color w:val="000000"/>
        </w:rPr>
      </w:pPr>
      <w:r w:rsidRPr="007545E0">
        <w:rPr>
          <w:rFonts w:ascii="宋体" w:eastAsia="宋体" w:hAnsi="Times New Roman" w:hint="eastAsia"/>
          <w:color w:val="000000"/>
        </w:rPr>
        <w:t>为具开创性的私募股权投资基金的成立设计结构、起草文件、完成审批以及提供后续服务，参与建立第一个外资参股契约型的产业投资基金海富通产业投资基金；第一个实质意义上的（中外合作）有限合伙制基金中新无限创投基金，及其后的红杉创新基金和软银博辰基金；第一个有限责任公司制的中外合资基金联创永宣基金；第一批纯内资人民币基金联创永津基金，后续不同规模和模式的股权基金包括中新产业、国青资本、元禾控股、盘石资本等基金，以及正在建立过程中的若干境内外人民币或美元基金。</w:t>
      </w:r>
    </w:p>
    <w:p w14:paraId="234B27FD" w14:textId="77777777" w:rsidR="007545E0" w:rsidRDefault="007545E0" w:rsidP="007545E0">
      <w:pPr>
        <w:pStyle w:val="af5"/>
        <w:spacing w:after="0" w:line="480" w:lineRule="auto"/>
        <w:rPr>
          <w:rFonts w:ascii="宋体" w:eastAsia="宋体" w:hAnsi="宋体"/>
          <w:b/>
          <w:sz w:val="24"/>
        </w:rPr>
      </w:pPr>
      <w:r w:rsidRPr="007545E0">
        <w:rPr>
          <w:rFonts w:ascii="宋体" w:eastAsia="宋体" w:hAnsi="宋体" w:hint="eastAsia"/>
          <w:b/>
          <w:sz w:val="24"/>
        </w:rPr>
        <w:t>教育背景</w:t>
      </w:r>
    </w:p>
    <w:p w14:paraId="648A777D" w14:textId="77777777" w:rsidR="007545E0" w:rsidRDefault="007545E0" w:rsidP="007545E0">
      <w:pPr>
        <w:pStyle w:val="af5"/>
        <w:numPr>
          <w:ilvl w:val="0"/>
          <w:numId w:val="8"/>
        </w:numPr>
        <w:spacing w:before="120"/>
        <w:ind w:left="690" w:hanging="240"/>
        <w:rPr>
          <w:rFonts w:ascii="宋体" w:eastAsia="宋体" w:hAnsi="Times New Roman"/>
          <w:color w:val="000000"/>
        </w:rPr>
      </w:pPr>
      <w:r w:rsidRPr="007545E0">
        <w:rPr>
          <w:rFonts w:ascii="宋体" w:eastAsia="宋体" w:hAnsi="Times New Roman" w:hint="eastAsia"/>
          <w:color w:val="000000"/>
        </w:rPr>
        <w:t>清华五道口金融学院，科学企业家大湾区班，</w:t>
      </w:r>
      <w:r w:rsidRPr="007545E0">
        <w:rPr>
          <w:rFonts w:ascii="宋体" w:eastAsia="宋体" w:hAnsi="Times New Roman"/>
          <w:color w:val="000000"/>
        </w:rPr>
        <w:t>20192021</w:t>
      </w:r>
    </w:p>
    <w:p w14:paraId="2A8B38D0" w14:textId="77777777" w:rsidR="007545E0" w:rsidRDefault="007545E0" w:rsidP="007545E0">
      <w:pPr>
        <w:pStyle w:val="af5"/>
        <w:numPr>
          <w:ilvl w:val="0"/>
          <w:numId w:val="9"/>
        </w:numPr>
        <w:spacing w:before="120"/>
        <w:ind w:left="690" w:hanging="240"/>
        <w:rPr>
          <w:rFonts w:ascii="宋体" w:eastAsia="宋体" w:hAnsi="Times New Roman"/>
          <w:color w:val="000000"/>
        </w:rPr>
      </w:pPr>
      <w:r w:rsidRPr="007545E0">
        <w:rPr>
          <w:rFonts w:ascii="宋体" w:eastAsia="宋体" w:hAnsi="Times New Roman" w:hint="eastAsia"/>
          <w:color w:val="000000"/>
        </w:rPr>
        <w:t>中欧国际工商学院，</w:t>
      </w:r>
      <w:r w:rsidRPr="007545E0">
        <w:rPr>
          <w:rFonts w:ascii="宋体" w:eastAsia="宋体" w:hAnsi="Times New Roman"/>
          <w:color w:val="000000"/>
        </w:rPr>
        <w:t>CFO 系列课程结业，20102011</w:t>
      </w:r>
    </w:p>
    <w:p w14:paraId="2283ED5F" w14:textId="77777777" w:rsidR="007545E0" w:rsidRDefault="007545E0" w:rsidP="007545E0">
      <w:pPr>
        <w:pStyle w:val="af5"/>
        <w:numPr>
          <w:ilvl w:val="0"/>
          <w:numId w:val="10"/>
        </w:numPr>
        <w:spacing w:before="120"/>
        <w:ind w:left="690" w:hanging="240"/>
        <w:rPr>
          <w:rFonts w:ascii="宋体" w:eastAsia="宋体" w:hAnsi="Times New Roman"/>
          <w:color w:val="000000"/>
        </w:rPr>
      </w:pPr>
      <w:r w:rsidRPr="007545E0">
        <w:rPr>
          <w:rFonts w:ascii="宋体" w:eastAsia="宋体" w:hAnsi="Times New Roman" w:hint="eastAsia"/>
          <w:color w:val="000000"/>
        </w:rPr>
        <w:t>纽约大学法学院，法学硕士，</w:t>
      </w:r>
      <w:r w:rsidRPr="007545E0">
        <w:rPr>
          <w:rFonts w:ascii="宋体" w:eastAsia="宋体" w:hAnsi="Times New Roman"/>
          <w:color w:val="000000"/>
        </w:rPr>
        <w:t>1996，赫瑟学者奖</w:t>
      </w:r>
    </w:p>
    <w:p w14:paraId="6219DC58" w14:textId="77777777" w:rsidR="007545E0" w:rsidRDefault="007545E0" w:rsidP="007545E0">
      <w:pPr>
        <w:pStyle w:val="af5"/>
        <w:numPr>
          <w:ilvl w:val="0"/>
          <w:numId w:val="11"/>
        </w:numPr>
        <w:spacing w:before="120"/>
        <w:ind w:left="690" w:hanging="240"/>
        <w:rPr>
          <w:rFonts w:ascii="宋体" w:eastAsia="宋体" w:hAnsi="Times New Roman"/>
          <w:color w:val="000000"/>
        </w:rPr>
      </w:pPr>
      <w:r w:rsidRPr="007545E0">
        <w:rPr>
          <w:rFonts w:ascii="宋体" w:eastAsia="宋体" w:hAnsi="Times New Roman" w:hint="eastAsia"/>
          <w:color w:val="000000"/>
        </w:rPr>
        <w:t>复旦大学法学院，法学学士，</w:t>
      </w:r>
      <w:r w:rsidRPr="007545E0">
        <w:rPr>
          <w:rFonts w:ascii="宋体" w:eastAsia="宋体" w:hAnsi="Times New Roman"/>
          <w:color w:val="000000"/>
        </w:rPr>
        <w:t>1990</w:t>
      </w:r>
    </w:p>
    <w:p w14:paraId="5A25CA68" w14:textId="77777777" w:rsidR="007545E0" w:rsidRDefault="007545E0" w:rsidP="007545E0">
      <w:pPr>
        <w:pStyle w:val="af5"/>
        <w:spacing w:after="0" w:line="480" w:lineRule="auto"/>
        <w:rPr>
          <w:rFonts w:ascii="宋体" w:eastAsia="宋体" w:hAnsi="宋体"/>
          <w:b/>
          <w:sz w:val="24"/>
        </w:rPr>
      </w:pPr>
      <w:r w:rsidRPr="007545E0">
        <w:rPr>
          <w:rFonts w:ascii="宋体" w:eastAsia="宋体" w:hAnsi="宋体" w:hint="eastAsia"/>
          <w:b/>
          <w:sz w:val="24"/>
        </w:rPr>
        <w:t>执业资格</w:t>
      </w:r>
    </w:p>
    <w:p w14:paraId="6E43492D" w14:textId="77777777" w:rsidR="007545E0" w:rsidRDefault="007545E0" w:rsidP="007545E0">
      <w:pPr>
        <w:pStyle w:val="af5"/>
        <w:numPr>
          <w:ilvl w:val="0"/>
          <w:numId w:val="12"/>
        </w:numPr>
        <w:spacing w:before="120"/>
        <w:ind w:left="690" w:hanging="240"/>
        <w:rPr>
          <w:rFonts w:ascii="宋体" w:eastAsia="宋体" w:hAnsi="Times New Roman"/>
          <w:color w:val="000000"/>
        </w:rPr>
      </w:pPr>
      <w:r w:rsidRPr="007545E0">
        <w:rPr>
          <w:rFonts w:ascii="宋体" w:eastAsia="宋体" w:hAnsi="Times New Roman" w:hint="eastAsia"/>
          <w:color w:val="000000"/>
        </w:rPr>
        <w:t>中华人民共和国执业律师</w:t>
      </w:r>
    </w:p>
    <w:p w14:paraId="631EE60C" w14:textId="77777777" w:rsidR="007545E0" w:rsidRDefault="007545E0" w:rsidP="007545E0">
      <w:pPr>
        <w:pStyle w:val="af5"/>
        <w:numPr>
          <w:ilvl w:val="0"/>
          <w:numId w:val="13"/>
        </w:numPr>
        <w:spacing w:before="120"/>
        <w:ind w:left="690" w:hanging="240"/>
        <w:rPr>
          <w:rFonts w:ascii="宋体" w:eastAsia="宋体" w:hAnsi="Times New Roman"/>
          <w:color w:val="000000"/>
        </w:rPr>
      </w:pPr>
      <w:r w:rsidRPr="007545E0">
        <w:rPr>
          <w:rFonts w:ascii="宋体" w:eastAsia="宋体" w:hAnsi="Times New Roman" w:hint="eastAsia"/>
          <w:color w:val="000000"/>
        </w:rPr>
        <w:t>美国纽约州律师资格</w:t>
      </w:r>
    </w:p>
    <w:p w14:paraId="1CA352C6" w14:textId="77777777" w:rsidR="007545E0" w:rsidRDefault="007545E0" w:rsidP="007545E0">
      <w:pPr>
        <w:pStyle w:val="af5"/>
        <w:spacing w:after="0" w:line="480" w:lineRule="auto"/>
        <w:rPr>
          <w:rFonts w:ascii="宋体" w:eastAsia="宋体" w:hAnsi="宋体"/>
          <w:b/>
          <w:sz w:val="24"/>
        </w:rPr>
      </w:pPr>
      <w:r w:rsidRPr="007545E0">
        <w:rPr>
          <w:rFonts w:ascii="宋体" w:eastAsia="宋体" w:hAnsi="宋体" w:hint="eastAsia"/>
          <w:b/>
          <w:sz w:val="24"/>
        </w:rPr>
        <w:t>其他信息</w:t>
      </w:r>
    </w:p>
    <w:p w14:paraId="6867D8B3" w14:textId="77777777" w:rsidR="007545E0" w:rsidRDefault="007545E0" w:rsidP="007545E0">
      <w:pPr>
        <w:pStyle w:val="af5"/>
        <w:spacing w:after="0" w:line="480" w:lineRule="auto"/>
        <w:rPr>
          <w:rFonts w:ascii="宋体" w:eastAsia="宋体" w:hAnsi="宋体"/>
          <w:b/>
          <w:sz w:val="24"/>
        </w:rPr>
      </w:pPr>
      <w:r w:rsidRPr="007545E0">
        <w:rPr>
          <w:rFonts w:ascii="宋体" w:eastAsia="宋体" w:hAnsi="宋体" w:hint="eastAsia"/>
          <w:b/>
          <w:sz w:val="24"/>
        </w:rPr>
        <w:t>其他履职</w:t>
      </w:r>
    </w:p>
    <w:p w14:paraId="2FE103DB" w14:textId="77777777" w:rsidR="007545E0" w:rsidRDefault="007545E0" w:rsidP="007545E0">
      <w:pPr>
        <w:pStyle w:val="af5"/>
        <w:numPr>
          <w:ilvl w:val="0"/>
          <w:numId w:val="14"/>
        </w:numPr>
        <w:spacing w:before="120"/>
        <w:ind w:left="690" w:hanging="240"/>
        <w:rPr>
          <w:rFonts w:ascii="宋体" w:eastAsia="宋体" w:hAnsi="Times New Roman"/>
          <w:color w:val="000000"/>
        </w:rPr>
      </w:pPr>
      <w:r w:rsidRPr="007545E0">
        <w:rPr>
          <w:rFonts w:ascii="宋体" w:eastAsia="宋体" w:hAnsi="Times New Roman"/>
          <w:color w:val="000000"/>
        </w:rPr>
        <w:t xml:space="preserve">国际律师协会（IBA）证券委员会亚太区总代表 </w:t>
      </w:r>
    </w:p>
    <w:p w14:paraId="6F04D685" w14:textId="77777777" w:rsidR="007545E0" w:rsidRDefault="007545E0" w:rsidP="007545E0">
      <w:pPr>
        <w:pStyle w:val="af5"/>
        <w:numPr>
          <w:ilvl w:val="0"/>
          <w:numId w:val="15"/>
        </w:numPr>
        <w:spacing w:before="120"/>
        <w:ind w:left="690" w:hanging="240"/>
        <w:rPr>
          <w:rFonts w:ascii="宋体" w:eastAsia="宋体" w:hAnsi="Times New Roman"/>
          <w:color w:val="000000"/>
        </w:rPr>
      </w:pPr>
      <w:r w:rsidRPr="007545E0">
        <w:rPr>
          <w:rFonts w:ascii="宋体" w:eastAsia="宋体" w:hAnsi="Times New Roman"/>
          <w:color w:val="000000"/>
        </w:rPr>
        <w:t xml:space="preserve">全国律师大会代表 </w:t>
      </w:r>
    </w:p>
    <w:p w14:paraId="2B97C750" w14:textId="77777777" w:rsidR="007545E0" w:rsidRDefault="007545E0" w:rsidP="007545E0">
      <w:pPr>
        <w:pStyle w:val="af5"/>
        <w:numPr>
          <w:ilvl w:val="0"/>
          <w:numId w:val="16"/>
        </w:numPr>
        <w:spacing w:before="120"/>
        <w:ind w:left="690" w:hanging="240"/>
        <w:rPr>
          <w:rFonts w:ascii="宋体" w:eastAsia="宋体" w:hAnsi="Times New Roman"/>
          <w:color w:val="000000"/>
        </w:rPr>
      </w:pPr>
      <w:r w:rsidRPr="007545E0">
        <w:rPr>
          <w:rFonts w:ascii="宋体" w:eastAsia="宋体" w:hAnsi="Times New Roman"/>
          <w:color w:val="000000"/>
        </w:rPr>
        <w:t xml:space="preserve">上海市政协委员及政协立法委员会专家成员 </w:t>
      </w:r>
    </w:p>
    <w:p w14:paraId="4F0A196B" w14:textId="639F51A2" w:rsidR="00A46A04" w:rsidRPr="007545E0" w:rsidRDefault="007545E0" w:rsidP="007545E0">
      <w:pPr>
        <w:pStyle w:val="af5"/>
        <w:numPr>
          <w:ilvl w:val="0"/>
          <w:numId w:val="17"/>
        </w:numPr>
        <w:spacing w:before="120"/>
        <w:ind w:left="690" w:hanging="240"/>
        <w:rPr>
          <w:rFonts w:ascii="宋体" w:eastAsia="宋体" w:hAnsi="Times New Roman"/>
          <w:color w:val="000000"/>
        </w:rPr>
      </w:pPr>
      <w:r w:rsidRPr="007545E0">
        <w:rPr>
          <w:rFonts w:ascii="宋体" w:eastAsia="宋体" w:hAnsi="Times New Roman"/>
          <w:color w:val="000000"/>
        </w:rPr>
        <w:t xml:space="preserve">华东政法大学国际金融学院客座教授 </w:t>
      </w:r>
    </w:p>
    <w:sectPr w:rsidR="00A46A04" w:rsidRPr="007545E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C22F8"/>
    <w:multiLevelType w:val="singleLevel"/>
    <w:tmpl w:val="401CF4B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370D8C"/>
    <w:multiLevelType w:val="singleLevel"/>
    <w:tmpl w:val="67383CE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D24B7F"/>
    <w:multiLevelType w:val="singleLevel"/>
    <w:tmpl w:val="CEF426F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6180FA1"/>
    <w:multiLevelType w:val="singleLevel"/>
    <w:tmpl w:val="E414829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1060152"/>
    <w:multiLevelType w:val="singleLevel"/>
    <w:tmpl w:val="39AE107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5DF5B6E"/>
    <w:multiLevelType w:val="singleLevel"/>
    <w:tmpl w:val="E414829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BDC38AE"/>
    <w:multiLevelType w:val="singleLevel"/>
    <w:tmpl w:val="F530FE4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D441B25"/>
    <w:multiLevelType w:val="singleLevel"/>
    <w:tmpl w:val="2814FAA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00B153E"/>
    <w:multiLevelType w:val="singleLevel"/>
    <w:tmpl w:val="77EAD26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1C74287"/>
    <w:multiLevelType w:val="singleLevel"/>
    <w:tmpl w:val="9216CFE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8E4046A"/>
    <w:multiLevelType w:val="singleLevel"/>
    <w:tmpl w:val="F0A45F9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B5F059A"/>
    <w:multiLevelType w:val="singleLevel"/>
    <w:tmpl w:val="CABC10A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C766484"/>
    <w:multiLevelType w:val="singleLevel"/>
    <w:tmpl w:val="2ADECC0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0C8310B"/>
    <w:multiLevelType w:val="singleLevel"/>
    <w:tmpl w:val="10282B5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E857BCF"/>
    <w:multiLevelType w:val="singleLevel"/>
    <w:tmpl w:val="1ED6637E"/>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7"/>
  </w:num>
  <w:num w:numId="3">
    <w:abstractNumId w:val="15"/>
  </w:num>
  <w:num w:numId="4">
    <w:abstractNumId w:val="13"/>
  </w:num>
  <w:num w:numId="5">
    <w:abstractNumId w:val="0"/>
  </w:num>
  <w:num w:numId="6">
    <w:abstractNumId w:val="1"/>
  </w:num>
  <w:num w:numId="7">
    <w:abstractNumId w:val="16"/>
  </w:num>
  <w:num w:numId="8">
    <w:abstractNumId w:val="5"/>
  </w:num>
  <w:num w:numId="9">
    <w:abstractNumId w:val="2"/>
  </w:num>
  <w:num w:numId="10">
    <w:abstractNumId w:val="12"/>
  </w:num>
  <w:num w:numId="11">
    <w:abstractNumId w:val="9"/>
  </w:num>
  <w:num w:numId="12">
    <w:abstractNumId w:val="14"/>
  </w:num>
  <w:num w:numId="13">
    <w:abstractNumId w:val="11"/>
  </w:num>
  <w:num w:numId="14">
    <w:abstractNumId w:val="8"/>
  </w:num>
  <w:num w:numId="15">
    <w:abstractNumId w:val="10"/>
  </w:num>
  <w:num w:numId="16">
    <w:abstractNumId w:val="3"/>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545E0"/>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545E0"/>
    <w:pPr>
      <w:spacing w:after="120"/>
    </w:pPr>
  </w:style>
  <w:style w:type="character" w:customStyle="1" w:styleId="af6">
    <w:name w:val="正文文本 字符"/>
    <w:basedOn w:val="a0"/>
    <w:link w:val="af5"/>
    <w:uiPriority w:val="99"/>
    <w:rsid w:val="007545E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DF23AE-E225-4830-8A8E-47925C6AD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340</Words>
  <Characters>1941</Characters>
  <Application>Microsoft Office Word</Application>
  <DocSecurity>0</DocSecurity>
  <Lines>16</Lines>
  <Paragraphs>4</Paragraphs>
  <ScaleCrop>false</ScaleCrop>
  <Company/>
  <LinksUpToDate>false</LinksUpToDate>
  <CharactersWithSpaces>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2026-05-09T18:51:00Z</dcterms:created>
  <dcterms:modified xsi:type="dcterms:W3CDTF">2026-05-09T18:51:00Z</dcterms:modified>
</cp:coreProperties>
</file>