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EE5DA39" w:rsidR="0049405C" w:rsidRPr="00187BAA" w:rsidRDefault="001C0E14" w:rsidP="001C0E14">
            <w:pPr>
              <w:spacing w:line="720" w:lineRule="auto"/>
              <w:rPr>
                <w:rFonts w:ascii="宋体" w:eastAsia="宋体" w:hAnsi="宋体"/>
                <w:color w:val="545551"/>
              </w:rPr>
            </w:pPr>
            <w:bookmarkStart w:id="0" w:name="xingming"/>
            <w:bookmarkStart w:id="1" w:name="_GoBack"/>
            <w:bookmarkEnd w:id="1"/>
            <w:r w:rsidRPr="001C0E14">
              <w:rPr>
                <w:rFonts w:ascii="宋体" w:eastAsia="宋体" w:hAnsi="Times New Roman" w:hint="eastAsia"/>
                <w:b/>
                <w:color w:val="000000"/>
                <w:sz w:val="48"/>
              </w:rPr>
              <w:t>姜笑</w:t>
            </w:r>
            <w:bookmarkEnd w:id="0"/>
          </w:p>
          <w:p w14:paraId="5C05A504" w14:textId="77777777" w:rsidR="001C0E14" w:rsidRPr="001C0E14" w:rsidRDefault="001C0E14" w:rsidP="001C0E14">
            <w:pPr>
              <w:spacing w:line="360" w:lineRule="auto"/>
              <w:rPr>
                <w:rFonts w:ascii="宋体" w:eastAsia="宋体" w:hAnsi="Times New Roman"/>
                <w:b/>
                <w:bCs/>
                <w:color w:val="000000"/>
              </w:rPr>
            </w:pPr>
            <w:bookmarkStart w:id="2" w:name="didian"/>
            <w:r w:rsidRPr="001C0E14">
              <w:rPr>
                <w:rFonts w:ascii="宋体" w:eastAsia="宋体" w:hAnsi="Times New Roman" w:hint="eastAsia"/>
                <w:b/>
                <w:bCs/>
                <w:color w:val="000000"/>
              </w:rPr>
              <w:t>北京</w:t>
            </w:r>
          </w:p>
          <w:p w14:paraId="706EB16B" w14:textId="5F987CDE" w:rsidR="0049405C" w:rsidRPr="00187BAA" w:rsidRDefault="001C0E14" w:rsidP="001C0E14">
            <w:pPr>
              <w:spacing w:line="360" w:lineRule="auto"/>
              <w:rPr>
                <w:rFonts w:ascii="宋体" w:eastAsia="宋体" w:hAnsi="宋体"/>
                <w:b/>
                <w:bCs/>
                <w:color w:val="545551"/>
              </w:rPr>
            </w:pPr>
            <w:r w:rsidRPr="001C0E14">
              <w:rPr>
                <w:rFonts w:ascii="宋体" w:eastAsia="宋体" w:hAnsi="Times New Roman" w:hint="eastAsia"/>
                <w:b/>
                <w:bCs/>
                <w:color w:val="000000"/>
              </w:rPr>
              <w:t>合伙人·香港</w:t>
            </w:r>
            <w:bookmarkEnd w:id="2"/>
          </w:p>
          <w:p w14:paraId="6199424A" w14:textId="77FB387F" w:rsidR="0049405C" w:rsidRPr="00187BAA" w:rsidRDefault="001C0E14" w:rsidP="001C0E14">
            <w:pPr>
              <w:spacing w:line="360" w:lineRule="auto"/>
              <w:rPr>
                <w:rFonts w:ascii="宋体" w:eastAsia="宋体" w:hAnsi="宋体"/>
                <w:color w:val="545551"/>
              </w:rPr>
            </w:pPr>
            <w:bookmarkStart w:id="3" w:name="dianhua"/>
            <w:r w:rsidRPr="001C0E14">
              <w:rPr>
                <w:rFonts w:ascii="宋体" w:eastAsia="宋体" w:hAnsi="Times New Roman"/>
                <w:color w:val="000000"/>
              </w:rPr>
              <w:t xml:space="preserve">+86 10 5769 5733 / +852 3976 8888 </w:t>
            </w:r>
            <w:bookmarkEnd w:id="3"/>
          </w:p>
          <w:p w14:paraId="4F910ACA" w14:textId="7BB356E5" w:rsidR="0049405C" w:rsidRPr="00187BAA" w:rsidRDefault="001C0E14" w:rsidP="001C0E14">
            <w:pPr>
              <w:spacing w:line="360" w:lineRule="auto"/>
              <w:rPr>
                <w:rFonts w:ascii="宋体" w:eastAsia="宋体" w:hAnsi="宋体"/>
                <w:color w:val="000000"/>
              </w:rPr>
            </w:pPr>
            <w:bookmarkStart w:id="4" w:name="youxiang"/>
            <w:r w:rsidRPr="001C0E14">
              <w:rPr>
                <w:rFonts w:ascii="宋体" w:eastAsia="宋体" w:hAnsi="Times New Roman"/>
                <w:color w:val="000000"/>
              </w:rPr>
              <w:t>xiao.jiang@fangdalaw.com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E60E583" w:rsidR="0049405C" w:rsidRPr="00187BAA" w:rsidRDefault="001C0E1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651B053" wp14:editId="3343470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A198BA6" w:rsidR="009465FB" w:rsidRPr="00187BAA" w:rsidRDefault="001C0E14" w:rsidP="007177F3">
            <w:pPr>
              <w:rPr>
                <w:rFonts w:ascii="宋体" w:eastAsia="宋体" w:hAnsi="宋体"/>
                <w:color w:val="000000"/>
                <w:szCs w:val="21"/>
              </w:rPr>
            </w:pPr>
            <w:bookmarkStart w:id="6" w:name="zhiyelingyu"/>
            <w:r w:rsidRPr="001C0E14">
              <w:rPr>
                <w:rFonts w:ascii="宋体" w:eastAsia="宋体" w:hAnsi="Times New Roman" w:hint="eastAsia"/>
                <w:color w:val="000000"/>
                <w:szCs w:val="21"/>
              </w:rPr>
              <w:t>姜笑律师是方达主要从事跨境并购和私募业务的合伙人。她在多种行业的并购、公司融资交易和其他公司事务方面代表公司客户、国际银行和私募股权基金。</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01B317" w14:textId="77777777" w:rsidR="001C0E1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CB8DC0" w14:textId="77777777" w:rsidR="001C0E14" w:rsidRDefault="001C0E14" w:rsidP="001C0E14">
      <w:pPr>
        <w:pStyle w:val="af5"/>
        <w:spacing w:after="0" w:line="480" w:lineRule="auto"/>
        <w:rPr>
          <w:rFonts w:ascii="宋体" w:eastAsia="宋体" w:hAnsi="宋体"/>
          <w:b/>
          <w:sz w:val="24"/>
        </w:rPr>
      </w:pPr>
      <w:r w:rsidRPr="001C0E14">
        <w:rPr>
          <w:rFonts w:ascii="宋体" w:eastAsia="宋体" w:hAnsi="宋体" w:hint="eastAsia"/>
          <w:b/>
          <w:sz w:val="24"/>
        </w:rPr>
        <w:t>近期代理的主要案件</w:t>
      </w:r>
    </w:p>
    <w:p w14:paraId="4F81406B" w14:textId="77777777" w:rsidR="001C0E14" w:rsidRDefault="001C0E14" w:rsidP="001C0E14">
      <w:pPr>
        <w:pStyle w:val="af5"/>
        <w:spacing w:before="120"/>
        <w:rPr>
          <w:rFonts w:ascii="宋体" w:eastAsia="宋体" w:hAnsi="Times New Roman"/>
          <w:color w:val="000000"/>
        </w:rPr>
      </w:pPr>
      <w:r w:rsidRPr="001C0E14">
        <w:rPr>
          <w:rFonts w:ascii="宋体" w:eastAsia="宋体" w:hAnsi="Times New Roman" w:hint="eastAsia"/>
          <w:color w:val="000000"/>
        </w:rPr>
        <w:t>并购交易</w:t>
      </w:r>
    </w:p>
    <w:p w14:paraId="1B30F20D" w14:textId="77777777" w:rsidR="001C0E14" w:rsidRDefault="001C0E14" w:rsidP="001C0E14">
      <w:pPr>
        <w:pStyle w:val="af5"/>
        <w:numPr>
          <w:ilvl w:val="0"/>
          <w:numId w:val="4"/>
        </w:numPr>
        <w:spacing w:before="120"/>
        <w:ind w:left="690" w:hanging="240"/>
        <w:rPr>
          <w:rFonts w:ascii="宋体" w:eastAsia="宋体" w:hAnsi="Times New Roman"/>
          <w:color w:val="000000"/>
        </w:rPr>
      </w:pPr>
      <w:r w:rsidRPr="001C0E14">
        <w:rPr>
          <w:rFonts w:ascii="宋体" w:eastAsia="宋体" w:hAnsi="Times New Roman" w:hint="eastAsia"/>
          <w:color w:val="000000"/>
        </w:rPr>
        <w:t>代表中国蓝星（集团）股份有限公司以</w:t>
      </w:r>
      <w:r w:rsidRPr="001C0E14">
        <w:rPr>
          <w:rFonts w:ascii="宋体" w:eastAsia="宋体" w:hAnsi="Times New Roman"/>
          <w:color w:val="000000"/>
        </w:rPr>
        <w:t>7.7亿美元出售REC集团给印度信实集团</w:t>
      </w:r>
    </w:p>
    <w:p w14:paraId="28BAB2D9" w14:textId="77777777" w:rsidR="001C0E14" w:rsidRDefault="001C0E14" w:rsidP="001C0E14">
      <w:pPr>
        <w:pStyle w:val="af5"/>
        <w:numPr>
          <w:ilvl w:val="0"/>
          <w:numId w:val="5"/>
        </w:numPr>
        <w:spacing w:before="120"/>
        <w:ind w:left="690" w:hanging="240"/>
        <w:rPr>
          <w:rFonts w:ascii="宋体" w:eastAsia="宋体" w:hAnsi="Times New Roman"/>
          <w:color w:val="000000"/>
        </w:rPr>
      </w:pPr>
      <w:r w:rsidRPr="001C0E14">
        <w:rPr>
          <w:rFonts w:ascii="宋体" w:eastAsia="宋体" w:hAnsi="Times New Roman" w:hint="eastAsia"/>
          <w:color w:val="000000"/>
        </w:rPr>
        <w:t>代表</w:t>
      </w:r>
      <w:r w:rsidRPr="001C0E14">
        <w:rPr>
          <w:rFonts w:ascii="宋体" w:eastAsia="宋体" w:hAnsi="Times New Roman"/>
          <w:color w:val="000000"/>
        </w:rPr>
        <w:t>SK海力士以近100亿美元的价格收购英特尔公司的全球闪存（NAND Flash）业务</w:t>
      </w:r>
    </w:p>
    <w:p w14:paraId="584F715A" w14:textId="77777777" w:rsidR="001C0E14" w:rsidRDefault="001C0E14" w:rsidP="001C0E14">
      <w:pPr>
        <w:pStyle w:val="af5"/>
        <w:numPr>
          <w:ilvl w:val="0"/>
          <w:numId w:val="6"/>
        </w:numPr>
        <w:spacing w:before="120"/>
        <w:ind w:left="690" w:hanging="240"/>
        <w:rPr>
          <w:rFonts w:ascii="宋体" w:eastAsia="宋体" w:hAnsi="Times New Roman"/>
          <w:color w:val="000000"/>
        </w:rPr>
      </w:pPr>
      <w:r w:rsidRPr="001C0E14">
        <w:rPr>
          <w:rFonts w:ascii="宋体" w:eastAsia="宋体" w:hAnsi="Times New Roman" w:hint="eastAsia"/>
          <w:color w:val="000000"/>
        </w:rPr>
        <w:t>代表中国华融国际控股有限公司参与了其与银建国际控股集团有限公司（港交所股份代号：</w:t>
      </w:r>
      <w:r w:rsidRPr="001C0E14">
        <w:rPr>
          <w:rFonts w:ascii="宋体" w:eastAsia="宋体" w:hAnsi="Times New Roman"/>
          <w:color w:val="000000"/>
        </w:rPr>
        <w:t>171）的合资项目。华融将持有合资公司49%的股权，合资项目总投资金额为约人民币8,700万元，合资公司将管理若干在大湾区的不良资产包</w:t>
      </w:r>
    </w:p>
    <w:p w14:paraId="0F71E257" w14:textId="77777777" w:rsidR="001C0E14" w:rsidRDefault="001C0E14" w:rsidP="001C0E14">
      <w:pPr>
        <w:pStyle w:val="af5"/>
        <w:numPr>
          <w:ilvl w:val="0"/>
          <w:numId w:val="7"/>
        </w:numPr>
        <w:spacing w:before="120"/>
        <w:ind w:left="690" w:hanging="240"/>
        <w:rPr>
          <w:rFonts w:ascii="宋体" w:eastAsia="宋体" w:hAnsi="Times New Roman"/>
          <w:color w:val="000000"/>
        </w:rPr>
      </w:pPr>
      <w:r w:rsidRPr="001C0E14">
        <w:rPr>
          <w:rFonts w:ascii="宋体" w:eastAsia="宋体" w:hAnsi="Times New Roman" w:hint="eastAsia"/>
          <w:color w:val="000000"/>
        </w:rPr>
        <w:t>代表芯鼎有限公司收购紫光科技（控股）有限公司（港交所股份代号：</w:t>
      </w:r>
      <w:r w:rsidRPr="001C0E14">
        <w:rPr>
          <w:rFonts w:ascii="宋体" w:eastAsia="宋体" w:hAnsi="Times New Roman"/>
          <w:color w:val="000000"/>
        </w:rPr>
        <w:t>0365）已发行股本之约67.82%的多数权益，交易价格为港币990,000,000元</w:t>
      </w:r>
    </w:p>
    <w:p w14:paraId="775F6E5C" w14:textId="77777777" w:rsidR="001C0E14" w:rsidRDefault="001C0E14" w:rsidP="001C0E14">
      <w:pPr>
        <w:pStyle w:val="af5"/>
        <w:numPr>
          <w:ilvl w:val="0"/>
          <w:numId w:val="8"/>
        </w:numPr>
        <w:spacing w:before="120"/>
        <w:ind w:left="690" w:hanging="240"/>
        <w:rPr>
          <w:rFonts w:ascii="宋体" w:eastAsia="宋体" w:hAnsi="Times New Roman"/>
          <w:color w:val="000000"/>
        </w:rPr>
      </w:pPr>
      <w:r w:rsidRPr="001C0E14">
        <w:rPr>
          <w:rFonts w:ascii="宋体" w:eastAsia="宋体" w:hAnsi="Times New Roman" w:hint="eastAsia"/>
          <w:color w:val="000000"/>
        </w:rPr>
        <w:t>代表大悦城地产（港交所股份代号</w:t>
      </w:r>
      <w:r w:rsidRPr="001C0E14">
        <w:rPr>
          <w:rFonts w:ascii="宋体" w:eastAsia="宋体" w:hAnsi="Times New Roman"/>
          <w:color w:val="000000"/>
        </w:rPr>
        <w:t>207）转让其持有的上海高星置业有限公司和西安大悦城的股权给Garbo商业地产基金</w:t>
      </w:r>
    </w:p>
    <w:p w14:paraId="2B3471FF" w14:textId="77777777" w:rsidR="001C0E14" w:rsidRDefault="001C0E14" w:rsidP="001C0E14">
      <w:pPr>
        <w:pStyle w:val="af5"/>
        <w:numPr>
          <w:ilvl w:val="0"/>
          <w:numId w:val="9"/>
        </w:numPr>
        <w:spacing w:before="120"/>
        <w:ind w:left="690" w:hanging="240"/>
        <w:rPr>
          <w:rFonts w:ascii="宋体" w:eastAsia="宋体" w:hAnsi="Times New Roman"/>
          <w:color w:val="000000"/>
        </w:rPr>
      </w:pPr>
      <w:r w:rsidRPr="001C0E14">
        <w:rPr>
          <w:rFonts w:ascii="宋体" w:eastAsia="宋体" w:hAnsi="Times New Roman" w:hint="eastAsia"/>
          <w:color w:val="000000"/>
        </w:rPr>
        <w:t>代表中国光大光大控股有限公司以</w:t>
      </w:r>
      <w:r w:rsidRPr="001C0E14">
        <w:rPr>
          <w:rFonts w:ascii="宋体" w:eastAsia="宋体" w:hAnsi="Times New Roman"/>
          <w:color w:val="000000"/>
        </w:rPr>
        <w:t>1.26亿美元的价格收购Medtronic KL Holdings LLC所持有的先健科技公司（香港证券交易所主版上市，股票代码01302）的22.4%的股权</w:t>
      </w:r>
    </w:p>
    <w:p w14:paraId="32E089D4" w14:textId="77777777" w:rsidR="001C0E14" w:rsidRDefault="001C0E14" w:rsidP="001C0E14">
      <w:pPr>
        <w:pStyle w:val="af5"/>
        <w:numPr>
          <w:ilvl w:val="0"/>
          <w:numId w:val="10"/>
        </w:numPr>
        <w:spacing w:before="120"/>
        <w:ind w:left="690" w:hanging="240"/>
        <w:rPr>
          <w:rFonts w:ascii="宋体" w:eastAsia="宋体" w:hAnsi="Times New Roman"/>
          <w:color w:val="000000"/>
        </w:rPr>
      </w:pPr>
      <w:r w:rsidRPr="001C0E14">
        <w:rPr>
          <w:rFonts w:ascii="宋体" w:eastAsia="宋体" w:hAnsi="Times New Roman" w:hint="eastAsia"/>
          <w:color w:val="000000"/>
        </w:rPr>
        <w:t>代表云锋医疗基金以大约</w:t>
      </w:r>
      <w:r w:rsidRPr="001C0E14">
        <w:rPr>
          <w:rFonts w:ascii="宋体" w:eastAsia="宋体" w:hAnsi="Times New Roman"/>
          <w:color w:val="000000"/>
        </w:rPr>
        <w:t>2亿美金的价格出售其投资的瑞莱生物工程（深圳）有限公司于上海润达医疗技术有限公司（A股股票代码603108）</w:t>
      </w:r>
    </w:p>
    <w:p w14:paraId="58A274D5" w14:textId="77777777" w:rsidR="001C0E14" w:rsidRDefault="001C0E14" w:rsidP="001C0E14">
      <w:pPr>
        <w:pStyle w:val="af5"/>
        <w:numPr>
          <w:ilvl w:val="0"/>
          <w:numId w:val="11"/>
        </w:numPr>
        <w:spacing w:before="120"/>
        <w:ind w:left="690" w:hanging="240"/>
        <w:rPr>
          <w:rFonts w:ascii="宋体" w:eastAsia="宋体" w:hAnsi="Times New Roman"/>
          <w:color w:val="000000"/>
        </w:rPr>
      </w:pPr>
      <w:r w:rsidRPr="001C0E14">
        <w:rPr>
          <w:rFonts w:ascii="宋体" w:eastAsia="宋体" w:hAnsi="Times New Roman" w:hint="eastAsia"/>
          <w:color w:val="000000"/>
        </w:rPr>
        <w:t>代表安迪科医药集团的股东出售公司的控制权给烟台东诚药业集团股份有限公司（</w:t>
      </w:r>
      <w:r w:rsidRPr="001C0E14">
        <w:rPr>
          <w:rFonts w:ascii="宋体" w:eastAsia="宋体" w:hAnsi="Times New Roman"/>
          <w:color w:val="000000"/>
        </w:rPr>
        <w:t>A股股票代码002675）</w:t>
      </w:r>
    </w:p>
    <w:p w14:paraId="6FDCF7E3" w14:textId="77777777" w:rsidR="001C0E14" w:rsidRDefault="001C0E14" w:rsidP="001C0E14">
      <w:pPr>
        <w:pStyle w:val="af5"/>
        <w:numPr>
          <w:ilvl w:val="0"/>
          <w:numId w:val="12"/>
        </w:numPr>
        <w:spacing w:before="120"/>
        <w:ind w:left="690" w:hanging="240"/>
        <w:rPr>
          <w:rFonts w:ascii="宋体" w:eastAsia="宋体" w:hAnsi="Times New Roman"/>
          <w:color w:val="000000"/>
        </w:rPr>
      </w:pPr>
      <w:r w:rsidRPr="001C0E14">
        <w:rPr>
          <w:rFonts w:ascii="宋体" w:eastAsia="宋体" w:hAnsi="Times New Roman" w:hint="eastAsia"/>
          <w:color w:val="000000"/>
        </w:rPr>
        <w:t>代表中国蓝星（集团）有限公司重组其有机硅事业部并在挪威奥斯陆证券交易所上市</w:t>
      </w:r>
    </w:p>
    <w:p w14:paraId="13DC8E33" w14:textId="77777777" w:rsidR="001C0E14" w:rsidRDefault="001C0E14" w:rsidP="001C0E14">
      <w:pPr>
        <w:pStyle w:val="af5"/>
        <w:numPr>
          <w:ilvl w:val="0"/>
          <w:numId w:val="13"/>
        </w:numPr>
        <w:spacing w:before="120"/>
        <w:ind w:left="690" w:hanging="240"/>
        <w:rPr>
          <w:rFonts w:ascii="宋体" w:eastAsia="宋体" w:hAnsi="Times New Roman"/>
          <w:color w:val="000000"/>
        </w:rPr>
      </w:pPr>
      <w:r w:rsidRPr="001C0E14">
        <w:rPr>
          <w:rFonts w:ascii="宋体" w:eastAsia="宋体" w:hAnsi="Times New Roman" w:hint="eastAsia"/>
          <w:color w:val="000000"/>
        </w:rPr>
        <w:t>代表首泰金信（北京）股权投资管理有限公司、方圆地产服务集团（香港证券交易所主板上市，股票代码</w:t>
      </w:r>
      <w:r w:rsidRPr="001C0E14">
        <w:rPr>
          <w:rFonts w:ascii="宋体" w:eastAsia="宋体" w:hAnsi="Times New Roman"/>
          <w:color w:val="000000"/>
        </w:rPr>
        <w:t>8376）分别收购两家香港持牌金融公司</w:t>
      </w:r>
    </w:p>
    <w:p w14:paraId="27C3D142" w14:textId="77777777" w:rsidR="001C0E14" w:rsidRDefault="001C0E14" w:rsidP="001C0E14">
      <w:pPr>
        <w:pStyle w:val="af5"/>
        <w:numPr>
          <w:ilvl w:val="0"/>
          <w:numId w:val="14"/>
        </w:numPr>
        <w:spacing w:before="120"/>
        <w:ind w:left="690" w:hanging="240"/>
        <w:rPr>
          <w:rFonts w:ascii="宋体" w:eastAsia="宋体" w:hAnsi="Times New Roman"/>
          <w:color w:val="000000"/>
        </w:rPr>
      </w:pPr>
      <w:r w:rsidRPr="001C0E14">
        <w:rPr>
          <w:rFonts w:ascii="宋体" w:eastAsia="宋体" w:hAnsi="Times New Roman" w:hint="eastAsia"/>
          <w:color w:val="000000"/>
        </w:rPr>
        <w:t>代表一家国际顶尖投资银行收购国内一家带有</w:t>
      </w:r>
      <w:r w:rsidRPr="001C0E14">
        <w:rPr>
          <w:rFonts w:ascii="宋体" w:eastAsia="宋体" w:hAnsi="Times New Roman"/>
          <w:color w:val="000000"/>
        </w:rPr>
        <w:t>VIE结构的P2P公司</w:t>
      </w:r>
    </w:p>
    <w:p w14:paraId="21ECAAB4" w14:textId="77777777" w:rsidR="001C0E14" w:rsidRDefault="001C0E14" w:rsidP="001C0E14">
      <w:pPr>
        <w:pStyle w:val="af5"/>
        <w:numPr>
          <w:ilvl w:val="0"/>
          <w:numId w:val="15"/>
        </w:numPr>
        <w:spacing w:before="120"/>
        <w:ind w:left="690" w:hanging="240"/>
        <w:rPr>
          <w:rFonts w:ascii="宋体" w:eastAsia="宋体" w:hAnsi="Times New Roman"/>
          <w:color w:val="000000"/>
        </w:rPr>
      </w:pPr>
      <w:r w:rsidRPr="001C0E14">
        <w:rPr>
          <w:rFonts w:ascii="宋体" w:eastAsia="宋体" w:hAnsi="Times New Roman" w:hint="eastAsia"/>
          <w:color w:val="000000"/>
        </w:rPr>
        <w:t>代表云峰基金以</w:t>
      </w:r>
      <w:r w:rsidRPr="001C0E14">
        <w:rPr>
          <w:rFonts w:ascii="宋体" w:eastAsia="宋体" w:hAnsi="Times New Roman"/>
          <w:color w:val="000000"/>
        </w:rPr>
        <w:t>5600万美金收购总部位于加州的医疗设备制造商瑞莱集团</w:t>
      </w:r>
    </w:p>
    <w:p w14:paraId="1D518D1C" w14:textId="77777777" w:rsidR="001C0E14" w:rsidRDefault="001C0E14" w:rsidP="001C0E14">
      <w:pPr>
        <w:pStyle w:val="af5"/>
        <w:numPr>
          <w:ilvl w:val="0"/>
          <w:numId w:val="16"/>
        </w:numPr>
        <w:spacing w:before="120"/>
        <w:ind w:left="690" w:hanging="240"/>
        <w:rPr>
          <w:rFonts w:ascii="宋体" w:eastAsia="宋体" w:hAnsi="Times New Roman"/>
          <w:color w:val="000000"/>
        </w:rPr>
      </w:pPr>
      <w:r w:rsidRPr="001C0E14">
        <w:rPr>
          <w:rFonts w:ascii="宋体" w:eastAsia="宋体" w:hAnsi="Times New Roman" w:hint="eastAsia"/>
          <w:color w:val="000000"/>
        </w:rPr>
        <w:t>代表阿里巴巴集团和浙江蚂蚁小微金融服务集团有限公司以</w:t>
      </w:r>
      <w:r w:rsidRPr="001C0E14">
        <w:rPr>
          <w:rFonts w:ascii="宋体" w:eastAsia="宋体" w:hAnsi="Times New Roman"/>
          <w:color w:val="000000"/>
        </w:rPr>
        <w:t>27亿人民币现金和各自相关资产成立一家海外O2O合资企业</w:t>
      </w:r>
    </w:p>
    <w:p w14:paraId="1C59196D" w14:textId="77777777" w:rsidR="001C0E14" w:rsidRDefault="001C0E14" w:rsidP="001C0E14">
      <w:pPr>
        <w:pStyle w:val="af5"/>
        <w:numPr>
          <w:ilvl w:val="0"/>
          <w:numId w:val="17"/>
        </w:numPr>
        <w:spacing w:before="120"/>
        <w:ind w:left="690" w:hanging="240"/>
        <w:rPr>
          <w:rFonts w:ascii="宋体" w:eastAsia="宋体" w:hAnsi="Times New Roman"/>
          <w:color w:val="000000"/>
        </w:rPr>
      </w:pPr>
      <w:r w:rsidRPr="001C0E14">
        <w:rPr>
          <w:rFonts w:ascii="宋体" w:eastAsia="宋体" w:hAnsi="Times New Roman" w:hint="eastAsia"/>
          <w:color w:val="000000"/>
        </w:rPr>
        <w:t>代表上海电气总公司以超过</w:t>
      </w:r>
      <w:r w:rsidRPr="001C0E14">
        <w:rPr>
          <w:rFonts w:ascii="宋体" w:eastAsia="宋体" w:hAnsi="Times New Roman"/>
          <w:color w:val="000000"/>
        </w:rPr>
        <w:t>2亿美元的金额拟收购由同一控制人控制的一家香港上市公司和一家私营公司</w:t>
      </w:r>
    </w:p>
    <w:p w14:paraId="3408E3D1" w14:textId="77777777" w:rsidR="001C0E14" w:rsidRDefault="001C0E14" w:rsidP="001C0E14">
      <w:pPr>
        <w:pStyle w:val="af5"/>
        <w:numPr>
          <w:ilvl w:val="0"/>
          <w:numId w:val="18"/>
        </w:numPr>
        <w:spacing w:before="120"/>
        <w:ind w:left="690" w:hanging="240"/>
        <w:rPr>
          <w:rFonts w:ascii="宋体" w:eastAsia="宋体" w:hAnsi="Times New Roman"/>
          <w:color w:val="000000"/>
        </w:rPr>
      </w:pPr>
      <w:r w:rsidRPr="001C0E14">
        <w:rPr>
          <w:rFonts w:ascii="宋体" w:eastAsia="宋体" w:hAnsi="Times New Roman" w:hint="eastAsia"/>
          <w:color w:val="000000"/>
        </w:rPr>
        <w:t>代表国家集成电路产业投资基金股份有限公司以</w:t>
      </w:r>
      <w:r w:rsidRPr="001C0E14">
        <w:rPr>
          <w:rFonts w:ascii="宋体" w:eastAsia="宋体" w:hAnsi="Times New Roman"/>
          <w:color w:val="000000"/>
        </w:rPr>
        <w:t>30亿港币收购中芯国际集成电路制造有限公司（香港主板上市，股票代码981）约13.04%的股份</w:t>
      </w:r>
    </w:p>
    <w:p w14:paraId="1F9291A1" w14:textId="77777777" w:rsidR="001C0E14" w:rsidRDefault="001C0E14" w:rsidP="001C0E14">
      <w:pPr>
        <w:pStyle w:val="af5"/>
        <w:numPr>
          <w:ilvl w:val="0"/>
          <w:numId w:val="19"/>
        </w:numPr>
        <w:spacing w:before="120"/>
        <w:ind w:left="690" w:hanging="240"/>
        <w:rPr>
          <w:rFonts w:ascii="宋体" w:eastAsia="宋体" w:hAnsi="Times New Roman"/>
          <w:color w:val="000000"/>
        </w:rPr>
      </w:pPr>
      <w:r w:rsidRPr="001C0E14">
        <w:rPr>
          <w:rFonts w:ascii="宋体" w:eastAsia="宋体" w:hAnsi="Times New Roman" w:hint="eastAsia"/>
          <w:color w:val="000000"/>
        </w:rPr>
        <w:t>代表安居客以</w:t>
      </w:r>
      <w:r w:rsidRPr="001C0E14">
        <w:rPr>
          <w:rFonts w:ascii="宋体" w:eastAsia="宋体" w:hAnsi="Times New Roman"/>
          <w:color w:val="000000"/>
        </w:rPr>
        <w:t>2.4亿美元出售公司给58.同城</w:t>
      </w:r>
    </w:p>
    <w:p w14:paraId="1E55BF59" w14:textId="77777777" w:rsidR="001C0E14" w:rsidRDefault="001C0E14" w:rsidP="001C0E14">
      <w:pPr>
        <w:pStyle w:val="af5"/>
        <w:numPr>
          <w:ilvl w:val="0"/>
          <w:numId w:val="20"/>
        </w:numPr>
        <w:spacing w:before="120"/>
        <w:ind w:left="690" w:hanging="240"/>
        <w:rPr>
          <w:rFonts w:ascii="宋体" w:eastAsia="宋体" w:hAnsi="Times New Roman"/>
          <w:color w:val="000000"/>
        </w:rPr>
      </w:pPr>
      <w:r w:rsidRPr="001C0E14">
        <w:rPr>
          <w:rFonts w:ascii="宋体" w:eastAsia="宋体" w:hAnsi="Times New Roman" w:hint="eastAsia"/>
          <w:color w:val="000000"/>
        </w:rPr>
        <w:t>代表</w:t>
      </w:r>
      <w:r w:rsidRPr="001C0E14">
        <w:rPr>
          <w:rFonts w:ascii="宋体" w:eastAsia="宋体" w:hAnsi="Times New Roman"/>
          <w:color w:val="000000"/>
        </w:rPr>
        <w:t>MII Co, Ltd.,一家中国公司在香港设立的投资机构，以2.4亿美元从一家美国私募股权基金购买两家香港公司的股权</w:t>
      </w:r>
    </w:p>
    <w:p w14:paraId="7D64CA23" w14:textId="77777777" w:rsidR="001C0E14" w:rsidRDefault="001C0E14" w:rsidP="001C0E14">
      <w:pPr>
        <w:pStyle w:val="af5"/>
        <w:numPr>
          <w:ilvl w:val="0"/>
          <w:numId w:val="21"/>
        </w:numPr>
        <w:spacing w:before="120"/>
        <w:ind w:left="690" w:hanging="240"/>
        <w:rPr>
          <w:rFonts w:ascii="宋体" w:eastAsia="宋体" w:hAnsi="Times New Roman"/>
          <w:color w:val="000000"/>
        </w:rPr>
      </w:pPr>
      <w:r w:rsidRPr="001C0E14">
        <w:rPr>
          <w:rFonts w:ascii="宋体" w:eastAsia="宋体" w:hAnsi="Times New Roman" w:hint="eastAsia"/>
          <w:color w:val="000000"/>
        </w:rPr>
        <w:t>代表中国蓝星（集团）股份有限公司以总共</w:t>
      </w:r>
      <w:r w:rsidRPr="001C0E14">
        <w:rPr>
          <w:rFonts w:ascii="宋体" w:eastAsia="宋体" w:hAnsi="Times New Roman"/>
          <w:color w:val="000000"/>
        </w:rPr>
        <w:t>5亿美元的价格通过两个独立交易向一家中国投资基金出售了其两个欧洲子公司的部分股权</w:t>
      </w:r>
    </w:p>
    <w:p w14:paraId="21C1CF19" w14:textId="77777777" w:rsidR="001C0E14" w:rsidRDefault="001C0E14" w:rsidP="001C0E14">
      <w:pPr>
        <w:pStyle w:val="af5"/>
        <w:numPr>
          <w:ilvl w:val="0"/>
          <w:numId w:val="22"/>
        </w:numPr>
        <w:spacing w:before="120"/>
        <w:ind w:left="690" w:hanging="240"/>
        <w:rPr>
          <w:rFonts w:ascii="宋体" w:eastAsia="宋体" w:hAnsi="Times New Roman"/>
          <w:color w:val="000000"/>
        </w:rPr>
      </w:pPr>
      <w:r w:rsidRPr="001C0E14">
        <w:rPr>
          <w:rFonts w:ascii="宋体" w:eastAsia="宋体" w:hAnsi="Times New Roman" w:hint="eastAsia"/>
          <w:color w:val="000000"/>
        </w:rPr>
        <w:t>代表康师傅控股有限公司完成与百事可乐的战略联盟，百事可乐以其在中国的全部罐装业务换取了康师傅控股有限公司旗下饮料业务板块</w:t>
      </w:r>
      <w:r w:rsidRPr="001C0E14">
        <w:rPr>
          <w:rFonts w:ascii="宋体" w:eastAsia="宋体" w:hAnsi="Times New Roman"/>
          <w:color w:val="000000"/>
        </w:rPr>
        <w:t>5%的股权，形成一个盈利达120亿美元的合并企业</w:t>
      </w:r>
    </w:p>
    <w:p w14:paraId="35BEA94B" w14:textId="77777777" w:rsidR="001C0E14" w:rsidRDefault="001C0E14" w:rsidP="001C0E14">
      <w:pPr>
        <w:pStyle w:val="af5"/>
        <w:numPr>
          <w:ilvl w:val="0"/>
          <w:numId w:val="23"/>
        </w:numPr>
        <w:spacing w:before="120"/>
        <w:ind w:left="690" w:hanging="240"/>
        <w:rPr>
          <w:rFonts w:ascii="宋体" w:eastAsia="宋体" w:hAnsi="Times New Roman"/>
          <w:color w:val="000000"/>
        </w:rPr>
      </w:pPr>
      <w:r w:rsidRPr="001C0E14">
        <w:rPr>
          <w:rFonts w:ascii="宋体" w:eastAsia="宋体" w:hAnsi="Times New Roman" w:hint="eastAsia"/>
          <w:color w:val="000000"/>
        </w:rPr>
        <w:t>代表中国国家开发银行为中国蓝星（集团）股份有限公司以</w:t>
      </w:r>
      <w:r w:rsidRPr="001C0E14">
        <w:rPr>
          <w:rFonts w:ascii="宋体" w:eastAsia="宋体" w:hAnsi="Times New Roman"/>
          <w:color w:val="000000"/>
        </w:rPr>
        <w:t>20亿美元并购Elkem AS提供15亿美元的收购融资</w:t>
      </w:r>
    </w:p>
    <w:p w14:paraId="716A666F" w14:textId="77777777" w:rsidR="001C0E14" w:rsidRDefault="001C0E14" w:rsidP="001C0E14">
      <w:pPr>
        <w:pStyle w:val="af5"/>
        <w:numPr>
          <w:ilvl w:val="0"/>
          <w:numId w:val="24"/>
        </w:numPr>
        <w:spacing w:before="120"/>
        <w:ind w:left="690" w:hanging="240"/>
        <w:rPr>
          <w:rFonts w:ascii="宋体" w:eastAsia="宋体" w:hAnsi="Times New Roman"/>
          <w:color w:val="000000"/>
        </w:rPr>
      </w:pPr>
      <w:r w:rsidRPr="001C0E14">
        <w:rPr>
          <w:rFonts w:ascii="宋体" w:eastAsia="宋体" w:hAnsi="Times New Roman" w:hint="eastAsia"/>
          <w:color w:val="000000"/>
        </w:rPr>
        <w:t>代表</w:t>
      </w:r>
      <w:r w:rsidRPr="001C0E14">
        <w:rPr>
          <w:rFonts w:ascii="宋体" w:eastAsia="宋体" w:hAnsi="Times New Roman"/>
          <w:color w:val="000000"/>
        </w:rPr>
        <w:t>ZTE Agrobusiness Company Limited拟投资一家印尼农业公司</w:t>
      </w:r>
    </w:p>
    <w:p w14:paraId="06921418" w14:textId="77777777" w:rsidR="001C0E14" w:rsidRDefault="001C0E14" w:rsidP="001C0E14">
      <w:pPr>
        <w:pStyle w:val="af5"/>
        <w:numPr>
          <w:ilvl w:val="0"/>
          <w:numId w:val="25"/>
        </w:numPr>
        <w:spacing w:before="120"/>
        <w:ind w:left="690" w:hanging="240"/>
        <w:rPr>
          <w:rFonts w:ascii="宋体" w:eastAsia="宋体" w:hAnsi="Times New Roman"/>
          <w:color w:val="000000"/>
        </w:rPr>
      </w:pPr>
      <w:r w:rsidRPr="001C0E14">
        <w:rPr>
          <w:rFonts w:ascii="宋体" w:eastAsia="宋体" w:hAnsi="Times New Roman" w:hint="eastAsia"/>
          <w:color w:val="000000"/>
        </w:rPr>
        <w:t>代表中国化工集团、美国百仕通集团和另外一家美国的私人股权投资基金组成的财团竞购澳大利亚的新农（</w:t>
      </w:r>
      <w:r w:rsidRPr="001C0E14">
        <w:rPr>
          <w:rFonts w:ascii="宋体" w:eastAsia="宋体" w:hAnsi="Times New Roman"/>
          <w:color w:val="000000"/>
        </w:rPr>
        <w:t>New Pharm）</w:t>
      </w:r>
    </w:p>
    <w:p w14:paraId="5A2609CD" w14:textId="77777777" w:rsidR="001C0E14" w:rsidRDefault="001C0E14" w:rsidP="001C0E14">
      <w:pPr>
        <w:pStyle w:val="af5"/>
        <w:numPr>
          <w:ilvl w:val="0"/>
          <w:numId w:val="26"/>
        </w:numPr>
        <w:spacing w:before="120"/>
        <w:ind w:left="690" w:hanging="240"/>
        <w:rPr>
          <w:rFonts w:ascii="宋体" w:eastAsia="宋体" w:hAnsi="Times New Roman"/>
          <w:color w:val="000000"/>
        </w:rPr>
      </w:pPr>
      <w:r w:rsidRPr="001C0E14">
        <w:rPr>
          <w:rFonts w:ascii="宋体" w:eastAsia="宋体" w:hAnsi="Times New Roman" w:hint="eastAsia"/>
          <w:color w:val="000000"/>
        </w:rPr>
        <w:t>代表中国化工集团公司竞标一家从事农用化学品业务的美国化工公司</w:t>
      </w:r>
    </w:p>
    <w:p w14:paraId="10807A67" w14:textId="77777777" w:rsidR="001C0E14" w:rsidRDefault="001C0E14" w:rsidP="001C0E14">
      <w:pPr>
        <w:pStyle w:val="af5"/>
        <w:numPr>
          <w:ilvl w:val="0"/>
          <w:numId w:val="27"/>
        </w:numPr>
        <w:spacing w:before="120"/>
        <w:ind w:left="690" w:hanging="240"/>
        <w:rPr>
          <w:rFonts w:ascii="宋体" w:eastAsia="宋体" w:hAnsi="Times New Roman"/>
          <w:color w:val="000000"/>
        </w:rPr>
      </w:pPr>
      <w:r w:rsidRPr="001C0E14">
        <w:rPr>
          <w:rFonts w:ascii="宋体" w:eastAsia="宋体" w:hAnsi="Times New Roman" w:hint="eastAsia"/>
          <w:color w:val="000000"/>
        </w:rPr>
        <w:t>代表中国蓝星（集团）股份有限公司以</w:t>
      </w:r>
      <w:r w:rsidRPr="001C0E14">
        <w:rPr>
          <w:rFonts w:ascii="宋体" w:eastAsia="宋体" w:hAnsi="Times New Roman"/>
          <w:color w:val="000000"/>
        </w:rPr>
        <w:t>6亿美元现金向黑石集团出售其20%的股权，以3.99亿欧元现金收购从事硅树脂和硫磺业务的Rhodia SA（法国）以及以4亿美元现金收购Drakkar Holdings S.A.（比利时）</w:t>
      </w:r>
    </w:p>
    <w:p w14:paraId="4A9E6EAB" w14:textId="77777777" w:rsidR="001C0E14" w:rsidRDefault="001C0E14" w:rsidP="001C0E14">
      <w:pPr>
        <w:pStyle w:val="af5"/>
        <w:numPr>
          <w:ilvl w:val="0"/>
          <w:numId w:val="28"/>
        </w:numPr>
        <w:spacing w:before="120"/>
        <w:ind w:left="690" w:hanging="240"/>
        <w:rPr>
          <w:rFonts w:ascii="宋体" w:eastAsia="宋体" w:hAnsi="Times New Roman"/>
          <w:color w:val="000000"/>
        </w:rPr>
      </w:pPr>
      <w:r w:rsidRPr="001C0E14">
        <w:rPr>
          <w:rFonts w:ascii="宋体" w:eastAsia="宋体" w:hAnsi="Times New Roman" w:hint="eastAsia"/>
          <w:color w:val="000000"/>
        </w:rPr>
        <w:t>代表雅虎公司战略投资阿里巴巴公司，并与其在中国开展总计达</w:t>
      </w:r>
      <w:r w:rsidRPr="001C0E14">
        <w:rPr>
          <w:rFonts w:ascii="宋体" w:eastAsia="宋体" w:hAnsi="Times New Roman"/>
          <w:color w:val="000000"/>
        </w:rPr>
        <w:t>40亿美元的合作业务</w:t>
      </w:r>
    </w:p>
    <w:p w14:paraId="5AB862EF" w14:textId="77777777" w:rsidR="001C0E14" w:rsidRDefault="001C0E14" w:rsidP="001C0E14">
      <w:pPr>
        <w:pStyle w:val="af5"/>
        <w:numPr>
          <w:ilvl w:val="0"/>
          <w:numId w:val="29"/>
        </w:numPr>
        <w:spacing w:before="120"/>
        <w:ind w:left="690" w:hanging="240"/>
        <w:rPr>
          <w:rFonts w:ascii="宋体" w:eastAsia="宋体" w:hAnsi="Times New Roman"/>
          <w:color w:val="000000"/>
        </w:rPr>
      </w:pPr>
      <w:r w:rsidRPr="001C0E14">
        <w:rPr>
          <w:rFonts w:ascii="宋体" w:eastAsia="宋体" w:hAnsi="Times New Roman" w:hint="eastAsia"/>
          <w:color w:val="000000"/>
        </w:rPr>
        <w:t>代表中国海洋石油有限公司的独立非执行董事拟以</w:t>
      </w:r>
      <w:r w:rsidRPr="001C0E14">
        <w:rPr>
          <w:rFonts w:ascii="宋体" w:eastAsia="宋体" w:hAnsi="Times New Roman"/>
          <w:color w:val="000000"/>
        </w:rPr>
        <w:t>185亿美元并购美国优尼科公司</w:t>
      </w:r>
    </w:p>
    <w:p w14:paraId="4260EF08" w14:textId="77777777" w:rsidR="001C0E14" w:rsidRDefault="001C0E14" w:rsidP="001C0E14">
      <w:pPr>
        <w:pStyle w:val="af5"/>
        <w:numPr>
          <w:ilvl w:val="0"/>
          <w:numId w:val="30"/>
        </w:numPr>
        <w:spacing w:before="120"/>
        <w:ind w:left="690" w:hanging="240"/>
        <w:rPr>
          <w:rFonts w:ascii="宋体" w:eastAsia="宋体" w:hAnsi="Times New Roman"/>
          <w:color w:val="000000"/>
        </w:rPr>
      </w:pPr>
      <w:r w:rsidRPr="001C0E14">
        <w:rPr>
          <w:rFonts w:ascii="宋体" w:eastAsia="宋体" w:hAnsi="Times New Roman" w:hint="eastAsia"/>
          <w:color w:val="000000"/>
        </w:rPr>
        <w:t>就盛大互动娱乐有限公司已累积持有新浪公司</w:t>
      </w:r>
      <w:r w:rsidRPr="001C0E14">
        <w:rPr>
          <w:rFonts w:ascii="宋体" w:eastAsia="宋体" w:hAnsi="Times New Roman"/>
          <w:color w:val="000000"/>
        </w:rPr>
        <w:t>19.5%的股权作为回应，新浪公司采纳股东购权计划</w:t>
      </w:r>
    </w:p>
    <w:p w14:paraId="789014A3" w14:textId="77777777" w:rsidR="001C0E14" w:rsidRDefault="001C0E14" w:rsidP="001C0E14">
      <w:pPr>
        <w:pStyle w:val="af5"/>
        <w:numPr>
          <w:ilvl w:val="0"/>
          <w:numId w:val="31"/>
        </w:numPr>
        <w:spacing w:before="120"/>
        <w:ind w:left="690" w:hanging="240"/>
        <w:rPr>
          <w:rFonts w:ascii="宋体" w:eastAsia="宋体" w:hAnsi="Times New Roman"/>
          <w:color w:val="000000"/>
        </w:rPr>
      </w:pPr>
      <w:r w:rsidRPr="001C0E14">
        <w:rPr>
          <w:rFonts w:ascii="宋体" w:eastAsia="宋体" w:hAnsi="Times New Roman" w:hint="eastAsia"/>
          <w:color w:val="000000"/>
        </w:rPr>
        <w:t>代表</w:t>
      </w:r>
      <w:r w:rsidRPr="001C0E14">
        <w:rPr>
          <w:rFonts w:ascii="宋体" w:eastAsia="宋体" w:hAnsi="Times New Roman"/>
          <w:color w:val="000000"/>
        </w:rPr>
        <w:t>Ispat Inland International N.V.于2004年以42亿美元并购国际钢铁集团</w:t>
      </w:r>
    </w:p>
    <w:p w14:paraId="149368F4" w14:textId="77777777" w:rsidR="001C0E14" w:rsidRDefault="001C0E14" w:rsidP="001C0E14">
      <w:pPr>
        <w:pStyle w:val="af5"/>
        <w:numPr>
          <w:ilvl w:val="0"/>
          <w:numId w:val="32"/>
        </w:numPr>
        <w:spacing w:before="120"/>
        <w:ind w:left="690" w:hanging="240"/>
        <w:rPr>
          <w:rFonts w:ascii="宋体" w:eastAsia="宋体" w:hAnsi="Times New Roman"/>
          <w:color w:val="000000"/>
        </w:rPr>
      </w:pPr>
      <w:r w:rsidRPr="001C0E14">
        <w:rPr>
          <w:rFonts w:ascii="宋体" w:eastAsia="宋体" w:hAnsi="Times New Roman" w:hint="eastAsia"/>
          <w:color w:val="000000"/>
        </w:rPr>
        <w:t>代表吉百利史威士股份有限公司以</w:t>
      </w:r>
      <w:r w:rsidRPr="001C0E14">
        <w:rPr>
          <w:rFonts w:ascii="宋体" w:eastAsia="宋体" w:hAnsi="Times New Roman"/>
          <w:color w:val="000000"/>
        </w:rPr>
        <w:t>42亿美元并购辉瑞有限公司的糖果业务</w:t>
      </w:r>
    </w:p>
    <w:p w14:paraId="780C86BE" w14:textId="77777777" w:rsidR="001C0E14" w:rsidRDefault="001C0E14" w:rsidP="001C0E14">
      <w:pPr>
        <w:pStyle w:val="af5"/>
        <w:spacing w:before="120"/>
        <w:rPr>
          <w:rFonts w:ascii="宋体" w:eastAsia="宋体" w:hAnsi="Times New Roman"/>
          <w:color w:val="000000"/>
        </w:rPr>
      </w:pPr>
      <w:r w:rsidRPr="001C0E14">
        <w:rPr>
          <w:rFonts w:ascii="宋体" w:eastAsia="宋体" w:hAnsi="Times New Roman" w:hint="eastAsia"/>
          <w:color w:val="000000"/>
        </w:rPr>
        <w:t>私募股权项目</w:t>
      </w:r>
    </w:p>
    <w:p w14:paraId="401DD329" w14:textId="77777777" w:rsidR="001C0E14" w:rsidRDefault="001C0E14" w:rsidP="001C0E14">
      <w:pPr>
        <w:pStyle w:val="af5"/>
        <w:numPr>
          <w:ilvl w:val="0"/>
          <w:numId w:val="33"/>
        </w:numPr>
        <w:spacing w:before="120"/>
        <w:ind w:left="690" w:hanging="240"/>
        <w:rPr>
          <w:rFonts w:ascii="宋体" w:eastAsia="宋体" w:hAnsi="Times New Roman"/>
          <w:color w:val="000000"/>
        </w:rPr>
      </w:pPr>
      <w:r w:rsidRPr="001C0E14">
        <w:rPr>
          <w:rFonts w:ascii="宋体" w:eastAsia="宋体" w:hAnsi="Times New Roman" w:hint="eastAsia"/>
          <w:color w:val="000000"/>
        </w:rPr>
        <w:t>代表</w:t>
      </w:r>
      <w:r w:rsidRPr="001C0E14">
        <w:rPr>
          <w:rFonts w:ascii="宋体" w:eastAsia="宋体" w:hAnsi="Times New Roman"/>
          <w:color w:val="000000"/>
        </w:rPr>
        <w:t>Autoflight Global Limited，一家大型无人机的制造商，进行集团重组和A轮融资，融资额为537万美元</w:t>
      </w:r>
    </w:p>
    <w:p w14:paraId="1BF92446" w14:textId="77777777" w:rsidR="001C0E14" w:rsidRDefault="001C0E14" w:rsidP="001C0E14">
      <w:pPr>
        <w:pStyle w:val="af5"/>
        <w:numPr>
          <w:ilvl w:val="0"/>
          <w:numId w:val="34"/>
        </w:numPr>
        <w:spacing w:before="120"/>
        <w:ind w:left="690" w:hanging="240"/>
        <w:rPr>
          <w:rFonts w:ascii="宋体" w:eastAsia="宋体" w:hAnsi="Times New Roman"/>
          <w:color w:val="000000"/>
        </w:rPr>
      </w:pPr>
      <w:r w:rsidRPr="001C0E14">
        <w:rPr>
          <w:rFonts w:ascii="宋体" w:eastAsia="宋体" w:hAnsi="Times New Roman" w:hint="eastAsia"/>
          <w:color w:val="000000"/>
        </w:rPr>
        <w:t>代表华大半导体有限公司旗下的</w:t>
      </w:r>
      <w:r w:rsidRPr="001C0E14">
        <w:rPr>
          <w:rFonts w:ascii="宋体" w:eastAsia="宋体" w:hAnsi="Times New Roman"/>
          <w:color w:val="000000"/>
        </w:rPr>
        <w:t>China Electronics Corporation （BVI） Holdings Company Limited以433万美元投资香港创业公司 Alpha Power Solutions Limited</w:t>
      </w:r>
    </w:p>
    <w:p w14:paraId="7B1DF8BE" w14:textId="77777777" w:rsidR="001C0E14" w:rsidRDefault="001C0E14" w:rsidP="001C0E14">
      <w:pPr>
        <w:pStyle w:val="af5"/>
        <w:numPr>
          <w:ilvl w:val="0"/>
          <w:numId w:val="35"/>
        </w:numPr>
        <w:spacing w:before="120"/>
        <w:ind w:left="690" w:hanging="240"/>
        <w:rPr>
          <w:rFonts w:ascii="宋体" w:eastAsia="宋体" w:hAnsi="Times New Roman"/>
          <w:color w:val="000000"/>
        </w:rPr>
      </w:pPr>
      <w:r w:rsidRPr="001C0E14">
        <w:rPr>
          <w:rFonts w:ascii="宋体" w:eastAsia="宋体" w:hAnsi="Times New Roman" w:hint="eastAsia"/>
          <w:color w:val="000000"/>
        </w:rPr>
        <w:t>代表蚂蚁金服对易保软件（为寿险和一般保险行业提供新一代软件和服务的领先服务提供商）总计</w:t>
      </w:r>
      <w:r w:rsidRPr="001C0E14">
        <w:rPr>
          <w:rFonts w:ascii="宋体" w:eastAsia="宋体" w:hAnsi="Times New Roman"/>
          <w:color w:val="000000"/>
        </w:rPr>
        <w:t>3000万美元的D轮投资、大搜车（一家中国领先的二手车汽车交易服务供应商）总计5000万美元的D轮投资，以及对维金VFinance（一家互联网金融基础设施服务商）总计3500万美元的B轮投资</w:t>
      </w:r>
    </w:p>
    <w:p w14:paraId="2DB79AD5" w14:textId="77777777" w:rsidR="001C0E14" w:rsidRDefault="001C0E14" w:rsidP="001C0E14">
      <w:pPr>
        <w:pStyle w:val="af5"/>
        <w:numPr>
          <w:ilvl w:val="0"/>
          <w:numId w:val="36"/>
        </w:numPr>
        <w:spacing w:before="120"/>
        <w:ind w:left="690" w:hanging="240"/>
        <w:rPr>
          <w:rFonts w:ascii="宋体" w:eastAsia="宋体" w:hAnsi="Times New Roman"/>
          <w:color w:val="000000"/>
        </w:rPr>
      </w:pPr>
      <w:r w:rsidRPr="001C0E14">
        <w:rPr>
          <w:rFonts w:ascii="宋体" w:eastAsia="宋体" w:hAnsi="Times New Roman" w:hint="eastAsia"/>
          <w:color w:val="000000"/>
        </w:rPr>
        <w:t>代表光大金融投资丝路金融（一家领先投资咨询服务商），总计交易金额为</w:t>
      </w:r>
      <w:r w:rsidRPr="001C0E14">
        <w:rPr>
          <w:rFonts w:ascii="宋体" w:eastAsia="宋体" w:hAnsi="Times New Roman"/>
          <w:color w:val="000000"/>
        </w:rPr>
        <w:t>500万美元</w:t>
      </w:r>
    </w:p>
    <w:p w14:paraId="6FC06464" w14:textId="77777777" w:rsidR="001C0E14" w:rsidRDefault="001C0E14" w:rsidP="001C0E14">
      <w:pPr>
        <w:pStyle w:val="af5"/>
        <w:numPr>
          <w:ilvl w:val="0"/>
          <w:numId w:val="37"/>
        </w:numPr>
        <w:spacing w:before="120"/>
        <w:ind w:left="690" w:hanging="240"/>
        <w:rPr>
          <w:rFonts w:ascii="宋体" w:eastAsia="宋体" w:hAnsi="Times New Roman"/>
          <w:color w:val="000000"/>
        </w:rPr>
      </w:pPr>
      <w:r w:rsidRPr="001C0E14">
        <w:rPr>
          <w:rFonts w:ascii="宋体" w:eastAsia="宋体" w:hAnsi="Times New Roman" w:hint="eastAsia"/>
          <w:color w:val="000000"/>
        </w:rPr>
        <w:t>代表</w:t>
      </w:r>
      <w:r w:rsidRPr="001C0E14">
        <w:rPr>
          <w:rFonts w:ascii="宋体" w:eastAsia="宋体" w:hAnsi="Times New Roman"/>
          <w:color w:val="000000"/>
        </w:rPr>
        <w:t>Yuneec集团以6000万美金出售公司15%股权于Intel Capital</w:t>
      </w:r>
    </w:p>
    <w:p w14:paraId="49F0C6DE" w14:textId="77777777" w:rsidR="001C0E14" w:rsidRDefault="001C0E14" w:rsidP="001C0E14">
      <w:pPr>
        <w:pStyle w:val="af5"/>
        <w:numPr>
          <w:ilvl w:val="0"/>
          <w:numId w:val="38"/>
        </w:numPr>
        <w:spacing w:before="120"/>
        <w:ind w:left="690" w:hanging="240"/>
        <w:rPr>
          <w:rFonts w:ascii="宋体" w:eastAsia="宋体" w:hAnsi="Times New Roman"/>
          <w:color w:val="000000"/>
        </w:rPr>
      </w:pPr>
      <w:r w:rsidRPr="001C0E14">
        <w:rPr>
          <w:rFonts w:ascii="宋体" w:eastAsia="宋体" w:hAnsi="Times New Roman" w:hint="eastAsia"/>
          <w:color w:val="000000"/>
        </w:rPr>
        <w:t>代表</w:t>
      </w:r>
      <w:r w:rsidRPr="001C0E14">
        <w:rPr>
          <w:rFonts w:ascii="宋体" w:eastAsia="宋体" w:hAnsi="Times New Roman"/>
          <w:color w:val="000000"/>
        </w:rPr>
        <w:t>Morningside Venture International Capital 对化妆品公司Luqa Ventures Co.,Limited 1500万美金的A轮投资</w:t>
      </w:r>
    </w:p>
    <w:p w14:paraId="09475082" w14:textId="77777777" w:rsidR="001C0E14" w:rsidRDefault="001C0E14" w:rsidP="001C0E14">
      <w:pPr>
        <w:pStyle w:val="af5"/>
        <w:numPr>
          <w:ilvl w:val="0"/>
          <w:numId w:val="39"/>
        </w:numPr>
        <w:spacing w:before="120"/>
        <w:ind w:left="690" w:hanging="240"/>
        <w:rPr>
          <w:rFonts w:ascii="宋体" w:eastAsia="宋体" w:hAnsi="Times New Roman"/>
          <w:color w:val="000000"/>
        </w:rPr>
      </w:pPr>
      <w:r w:rsidRPr="001C0E14">
        <w:rPr>
          <w:rFonts w:ascii="宋体" w:eastAsia="宋体" w:hAnsi="Times New Roman" w:hint="eastAsia"/>
          <w:color w:val="000000"/>
        </w:rPr>
        <w:t>代表柯罗尼资本从</w:t>
      </w:r>
      <w:r w:rsidRPr="001C0E14">
        <w:rPr>
          <w:rFonts w:ascii="宋体" w:eastAsia="宋体" w:hAnsi="Times New Roman"/>
          <w:color w:val="000000"/>
        </w:rPr>
        <w:t>Charm Way Profits Limited收购一栋位于北京的商品住宅楼，并又将该楼转售给世茂集团</w:t>
      </w:r>
    </w:p>
    <w:p w14:paraId="0E129466" w14:textId="77777777" w:rsidR="001C0E14" w:rsidRDefault="001C0E14" w:rsidP="001C0E14">
      <w:pPr>
        <w:pStyle w:val="af5"/>
        <w:numPr>
          <w:ilvl w:val="0"/>
          <w:numId w:val="40"/>
        </w:numPr>
        <w:spacing w:before="120"/>
        <w:ind w:left="690" w:hanging="240"/>
        <w:rPr>
          <w:rFonts w:ascii="宋体" w:eastAsia="宋体" w:hAnsi="Times New Roman"/>
          <w:color w:val="000000"/>
        </w:rPr>
      </w:pPr>
      <w:r w:rsidRPr="001C0E14">
        <w:rPr>
          <w:rFonts w:ascii="宋体" w:eastAsia="宋体" w:hAnsi="Times New Roman" w:hint="eastAsia"/>
          <w:color w:val="000000"/>
        </w:rPr>
        <w:t>代表</w:t>
      </w:r>
      <w:r w:rsidRPr="001C0E14">
        <w:rPr>
          <w:rFonts w:ascii="宋体" w:eastAsia="宋体" w:hAnsi="Times New Roman"/>
          <w:color w:val="000000"/>
        </w:rPr>
        <w:t>SIG China Investments One, Ltd.与启明创投及其关联基金共同股权投资于AllTech International Group, Inc.</w:t>
      </w:r>
    </w:p>
    <w:p w14:paraId="3BE63A8A" w14:textId="77777777" w:rsidR="001C0E14" w:rsidRDefault="001C0E14" w:rsidP="001C0E14">
      <w:pPr>
        <w:pStyle w:val="af5"/>
        <w:numPr>
          <w:ilvl w:val="0"/>
          <w:numId w:val="41"/>
        </w:numPr>
        <w:spacing w:before="120"/>
        <w:ind w:left="690" w:hanging="240"/>
        <w:rPr>
          <w:rFonts w:ascii="宋体" w:eastAsia="宋体" w:hAnsi="Times New Roman"/>
          <w:color w:val="000000"/>
        </w:rPr>
      </w:pPr>
      <w:r w:rsidRPr="001C0E14">
        <w:rPr>
          <w:rFonts w:ascii="宋体" w:eastAsia="宋体" w:hAnsi="Times New Roman" w:hint="eastAsia"/>
          <w:color w:val="000000"/>
        </w:rPr>
        <w:t>代表</w:t>
      </w:r>
      <w:r w:rsidRPr="001C0E14">
        <w:rPr>
          <w:rFonts w:ascii="宋体" w:eastAsia="宋体" w:hAnsi="Times New Roman"/>
          <w:color w:val="000000"/>
        </w:rPr>
        <w:t>Wafra Partners LLC连同Brown Brothers Harriman &amp; Co参与于CTM Group, Inc.的股权投资项目</w:t>
      </w:r>
    </w:p>
    <w:p w14:paraId="692F98B1" w14:textId="77777777" w:rsidR="001C0E14" w:rsidRDefault="001C0E14" w:rsidP="001C0E14">
      <w:pPr>
        <w:pStyle w:val="af5"/>
        <w:numPr>
          <w:ilvl w:val="0"/>
          <w:numId w:val="42"/>
        </w:numPr>
        <w:spacing w:before="120"/>
        <w:ind w:left="690" w:hanging="240"/>
        <w:rPr>
          <w:rFonts w:ascii="宋体" w:eastAsia="宋体" w:hAnsi="Times New Roman"/>
          <w:color w:val="000000"/>
        </w:rPr>
      </w:pPr>
      <w:r w:rsidRPr="001C0E14">
        <w:rPr>
          <w:rFonts w:ascii="宋体" w:eastAsia="宋体" w:hAnsi="Times New Roman" w:hint="eastAsia"/>
          <w:color w:val="000000"/>
        </w:rPr>
        <w:t>代表德意志银行出让</w:t>
      </w:r>
      <w:r w:rsidRPr="001C0E14">
        <w:rPr>
          <w:rFonts w:ascii="宋体" w:eastAsia="宋体" w:hAnsi="Times New Roman"/>
          <w:color w:val="000000"/>
        </w:rPr>
        <w:t>27项投资组合</w:t>
      </w:r>
    </w:p>
    <w:p w14:paraId="122DF35D" w14:textId="77777777" w:rsidR="001C0E14" w:rsidRDefault="001C0E14" w:rsidP="001C0E14">
      <w:pPr>
        <w:pStyle w:val="af5"/>
        <w:numPr>
          <w:ilvl w:val="0"/>
          <w:numId w:val="43"/>
        </w:numPr>
        <w:spacing w:before="120"/>
        <w:ind w:left="690" w:hanging="240"/>
        <w:rPr>
          <w:rFonts w:ascii="宋体" w:eastAsia="宋体" w:hAnsi="Times New Roman"/>
          <w:color w:val="000000"/>
        </w:rPr>
      </w:pPr>
      <w:r w:rsidRPr="001C0E14">
        <w:rPr>
          <w:rFonts w:ascii="宋体" w:eastAsia="宋体" w:hAnsi="Times New Roman" w:hint="eastAsia"/>
          <w:color w:val="000000"/>
        </w:rPr>
        <w:t>代表波士顿科学国际有限公司参与于</w:t>
      </w:r>
      <w:r w:rsidRPr="001C0E14">
        <w:rPr>
          <w:rFonts w:ascii="宋体" w:eastAsia="宋体" w:hAnsi="Times New Roman"/>
          <w:color w:val="000000"/>
        </w:rPr>
        <w:t>Osiris Acquisition II, Inc.的股权投资项目</w:t>
      </w:r>
    </w:p>
    <w:p w14:paraId="7A6A739F" w14:textId="77777777" w:rsidR="001C0E14" w:rsidRDefault="001C0E14" w:rsidP="001C0E14">
      <w:pPr>
        <w:pStyle w:val="af5"/>
        <w:numPr>
          <w:ilvl w:val="0"/>
          <w:numId w:val="44"/>
        </w:numPr>
        <w:spacing w:before="120"/>
        <w:ind w:left="690" w:hanging="240"/>
        <w:rPr>
          <w:rFonts w:ascii="宋体" w:eastAsia="宋体" w:hAnsi="Times New Roman"/>
          <w:color w:val="000000"/>
        </w:rPr>
      </w:pPr>
      <w:r w:rsidRPr="001C0E14">
        <w:rPr>
          <w:rFonts w:ascii="宋体" w:eastAsia="宋体" w:hAnsi="Times New Roman" w:hint="eastAsia"/>
          <w:color w:val="000000"/>
        </w:rPr>
        <w:t>代表</w:t>
      </w:r>
      <w:r w:rsidRPr="001C0E14">
        <w:rPr>
          <w:rFonts w:ascii="宋体" w:eastAsia="宋体" w:hAnsi="Times New Roman"/>
          <w:color w:val="000000"/>
        </w:rPr>
        <w:t>DND Partners LLC 参与于The Tennis Channel, Inc. 的股权投资项目</w:t>
      </w:r>
    </w:p>
    <w:p w14:paraId="6EBE249B" w14:textId="77777777" w:rsidR="001C0E14" w:rsidRDefault="001C0E14" w:rsidP="001C0E14">
      <w:pPr>
        <w:pStyle w:val="af5"/>
        <w:spacing w:after="0" w:line="480" w:lineRule="auto"/>
        <w:rPr>
          <w:rFonts w:ascii="宋体" w:eastAsia="宋体" w:hAnsi="宋体"/>
          <w:b/>
          <w:sz w:val="24"/>
        </w:rPr>
      </w:pPr>
      <w:r w:rsidRPr="001C0E14">
        <w:rPr>
          <w:rFonts w:ascii="宋体" w:eastAsia="宋体" w:hAnsi="宋体" w:hint="eastAsia"/>
          <w:b/>
          <w:sz w:val="24"/>
        </w:rPr>
        <w:t>教育背景</w:t>
      </w:r>
    </w:p>
    <w:p w14:paraId="14F6406D" w14:textId="77777777" w:rsidR="001C0E14" w:rsidRDefault="001C0E14" w:rsidP="001C0E14">
      <w:pPr>
        <w:pStyle w:val="af5"/>
        <w:numPr>
          <w:ilvl w:val="0"/>
          <w:numId w:val="45"/>
        </w:numPr>
        <w:spacing w:before="120"/>
        <w:ind w:left="690" w:hanging="240"/>
        <w:rPr>
          <w:rFonts w:ascii="宋体" w:eastAsia="宋体" w:hAnsi="Times New Roman"/>
          <w:color w:val="000000"/>
        </w:rPr>
      </w:pPr>
      <w:r w:rsidRPr="001C0E14">
        <w:rPr>
          <w:rFonts w:ascii="宋体" w:eastAsia="宋体" w:hAnsi="Times New Roman" w:hint="eastAsia"/>
          <w:color w:val="000000"/>
        </w:rPr>
        <w:t>美国哥伦比亚大学法学院，法律博士（</w:t>
      </w:r>
      <w:r w:rsidRPr="001C0E14">
        <w:rPr>
          <w:rFonts w:ascii="宋体" w:eastAsia="宋体" w:hAnsi="Times New Roman"/>
          <w:color w:val="000000"/>
        </w:rPr>
        <w:t>Harlan Fiske Stone Scholar荣誉），2002</w:t>
      </w:r>
    </w:p>
    <w:p w14:paraId="6ED118F8" w14:textId="77777777" w:rsidR="001C0E14" w:rsidRDefault="001C0E14" w:rsidP="001C0E14">
      <w:pPr>
        <w:pStyle w:val="af5"/>
        <w:numPr>
          <w:ilvl w:val="0"/>
          <w:numId w:val="46"/>
        </w:numPr>
        <w:spacing w:before="120"/>
        <w:ind w:left="690" w:hanging="240"/>
        <w:rPr>
          <w:rFonts w:ascii="宋体" w:eastAsia="宋体" w:hAnsi="Times New Roman"/>
          <w:color w:val="000000"/>
        </w:rPr>
      </w:pPr>
      <w:r w:rsidRPr="001C0E14">
        <w:rPr>
          <w:rFonts w:ascii="宋体" w:eastAsia="宋体" w:hAnsi="Times New Roman" w:hint="eastAsia"/>
          <w:color w:val="000000"/>
        </w:rPr>
        <w:t>美国天普大学，工商管理硕士（</w:t>
      </w:r>
      <w:r w:rsidRPr="001C0E14">
        <w:rPr>
          <w:rFonts w:ascii="宋体" w:eastAsia="宋体" w:hAnsi="Times New Roman"/>
          <w:color w:val="000000"/>
        </w:rPr>
        <w:t>Dean&amp;#39;s Certificate of Excellence荣誉），1997</w:t>
      </w:r>
    </w:p>
    <w:p w14:paraId="3E86EA67" w14:textId="77777777" w:rsidR="001C0E14" w:rsidRDefault="001C0E14" w:rsidP="001C0E14">
      <w:pPr>
        <w:pStyle w:val="af5"/>
        <w:numPr>
          <w:ilvl w:val="0"/>
          <w:numId w:val="47"/>
        </w:numPr>
        <w:spacing w:before="120"/>
        <w:ind w:left="690" w:hanging="240"/>
        <w:rPr>
          <w:rFonts w:ascii="宋体" w:eastAsia="宋体" w:hAnsi="Times New Roman"/>
          <w:color w:val="000000"/>
        </w:rPr>
      </w:pPr>
      <w:r w:rsidRPr="001C0E14">
        <w:rPr>
          <w:rFonts w:ascii="宋体" w:eastAsia="宋体" w:hAnsi="Times New Roman" w:hint="eastAsia"/>
          <w:color w:val="000000"/>
        </w:rPr>
        <w:t>北京第二外语学院，经济学学士（</w:t>
      </w:r>
      <w:r w:rsidRPr="001C0E14">
        <w:rPr>
          <w:rFonts w:ascii="宋体" w:eastAsia="宋体" w:hAnsi="Times New Roman"/>
          <w:color w:val="000000"/>
        </w:rPr>
        <w:t>distinctions荣誉），1993</w:t>
      </w:r>
    </w:p>
    <w:p w14:paraId="5517DED6" w14:textId="77777777" w:rsidR="001C0E14" w:rsidRDefault="001C0E14" w:rsidP="001C0E14">
      <w:pPr>
        <w:pStyle w:val="af5"/>
        <w:spacing w:after="0" w:line="480" w:lineRule="auto"/>
        <w:rPr>
          <w:rFonts w:ascii="宋体" w:eastAsia="宋体" w:hAnsi="宋体"/>
          <w:b/>
          <w:sz w:val="24"/>
        </w:rPr>
      </w:pPr>
      <w:r w:rsidRPr="001C0E14">
        <w:rPr>
          <w:rFonts w:ascii="宋体" w:eastAsia="宋体" w:hAnsi="宋体" w:hint="eastAsia"/>
          <w:b/>
          <w:sz w:val="24"/>
        </w:rPr>
        <w:t>执业资格</w:t>
      </w:r>
    </w:p>
    <w:p w14:paraId="51935240" w14:textId="77777777" w:rsidR="001C0E14" w:rsidRDefault="001C0E14" w:rsidP="001C0E14">
      <w:pPr>
        <w:pStyle w:val="af5"/>
        <w:numPr>
          <w:ilvl w:val="0"/>
          <w:numId w:val="48"/>
        </w:numPr>
        <w:spacing w:before="120"/>
        <w:ind w:left="690" w:hanging="240"/>
        <w:rPr>
          <w:rFonts w:ascii="宋体" w:eastAsia="宋体" w:hAnsi="Times New Roman"/>
          <w:color w:val="000000"/>
        </w:rPr>
      </w:pPr>
      <w:r w:rsidRPr="001C0E14">
        <w:rPr>
          <w:rFonts w:ascii="宋体" w:eastAsia="宋体" w:hAnsi="Times New Roman" w:hint="eastAsia"/>
          <w:color w:val="000000"/>
        </w:rPr>
        <w:t>美国纽约州律师资格（</w:t>
      </w:r>
      <w:r w:rsidRPr="001C0E14">
        <w:rPr>
          <w:rFonts w:ascii="宋体" w:eastAsia="宋体" w:hAnsi="Times New Roman"/>
          <w:color w:val="000000"/>
        </w:rPr>
        <w:t>2003）</w:t>
      </w:r>
    </w:p>
    <w:p w14:paraId="472E0E10" w14:textId="77777777" w:rsidR="001C0E14" w:rsidRDefault="001C0E14" w:rsidP="001C0E14">
      <w:pPr>
        <w:pStyle w:val="af5"/>
        <w:numPr>
          <w:ilvl w:val="0"/>
          <w:numId w:val="49"/>
        </w:numPr>
        <w:spacing w:before="120"/>
        <w:ind w:left="690" w:hanging="240"/>
        <w:rPr>
          <w:rFonts w:ascii="宋体" w:eastAsia="宋体" w:hAnsi="Times New Roman"/>
          <w:color w:val="000000"/>
        </w:rPr>
      </w:pPr>
      <w:r w:rsidRPr="001C0E14">
        <w:rPr>
          <w:rFonts w:ascii="宋体" w:eastAsia="宋体" w:hAnsi="Times New Roman" w:hint="eastAsia"/>
          <w:color w:val="000000"/>
        </w:rPr>
        <w:t>香港特别行政区执业律师资格（</w:t>
      </w:r>
      <w:r w:rsidRPr="001C0E14">
        <w:rPr>
          <w:rFonts w:ascii="宋体" w:eastAsia="宋体" w:hAnsi="Times New Roman"/>
          <w:color w:val="000000"/>
        </w:rPr>
        <w:t>2013）</w:t>
      </w:r>
    </w:p>
    <w:p w14:paraId="4EBD00B0" w14:textId="77777777" w:rsidR="001C0E14" w:rsidRDefault="001C0E14" w:rsidP="001C0E14">
      <w:pPr>
        <w:pStyle w:val="af5"/>
        <w:spacing w:after="0" w:line="480" w:lineRule="auto"/>
        <w:rPr>
          <w:rFonts w:ascii="宋体" w:eastAsia="宋体" w:hAnsi="宋体"/>
          <w:b/>
          <w:sz w:val="24"/>
        </w:rPr>
      </w:pPr>
      <w:r w:rsidRPr="001C0E14">
        <w:rPr>
          <w:rFonts w:ascii="宋体" w:eastAsia="宋体" w:hAnsi="宋体" w:hint="eastAsia"/>
          <w:b/>
          <w:sz w:val="24"/>
        </w:rPr>
        <w:t>职业背景</w:t>
      </w:r>
    </w:p>
    <w:p w14:paraId="4F0A196B" w14:textId="43D03C40" w:rsidR="00A46A04" w:rsidRPr="001C0E14" w:rsidRDefault="001C0E14" w:rsidP="001C0E14">
      <w:pPr>
        <w:pStyle w:val="af5"/>
        <w:numPr>
          <w:ilvl w:val="0"/>
          <w:numId w:val="50"/>
        </w:numPr>
        <w:spacing w:before="120"/>
        <w:ind w:left="690" w:hanging="240"/>
        <w:rPr>
          <w:rFonts w:ascii="宋体" w:eastAsia="宋体" w:hAnsi="Times New Roman"/>
          <w:color w:val="000000"/>
        </w:rPr>
      </w:pPr>
      <w:r w:rsidRPr="001C0E14">
        <w:rPr>
          <w:rFonts w:ascii="宋体" w:eastAsia="宋体" w:hAnsi="Times New Roman" w:hint="eastAsia"/>
          <w:color w:val="000000"/>
        </w:rPr>
        <w:t>在加入方达之前，姜律师曾就职于纽约和香港的国际律师事务所多年。</w:t>
      </w:r>
    </w:p>
    <w:sectPr w:rsidR="00A46A04" w:rsidRPr="001C0E1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34770"/>
    <w:multiLevelType w:val="singleLevel"/>
    <w:tmpl w:val="FEA83C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ED35C7"/>
    <w:multiLevelType w:val="singleLevel"/>
    <w:tmpl w:val="5E22A6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E059B3"/>
    <w:multiLevelType w:val="singleLevel"/>
    <w:tmpl w:val="951CEC6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FA3E77"/>
    <w:multiLevelType w:val="singleLevel"/>
    <w:tmpl w:val="5D7611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894E33"/>
    <w:multiLevelType w:val="singleLevel"/>
    <w:tmpl w:val="696A9E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D000BC"/>
    <w:multiLevelType w:val="singleLevel"/>
    <w:tmpl w:val="A754DA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1F73AE"/>
    <w:multiLevelType w:val="singleLevel"/>
    <w:tmpl w:val="78220F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754C19"/>
    <w:multiLevelType w:val="singleLevel"/>
    <w:tmpl w:val="3214937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3C1A5F"/>
    <w:multiLevelType w:val="singleLevel"/>
    <w:tmpl w:val="5A3641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EB5702"/>
    <w:multiLevelType w:val="singleLevel"/>
    <w:tmpl w:val="B2D05F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2B155D"/>
    <w:multiLevelType w:val="singleLevel"/>
    <w:tmpl w:val="84F40A4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A50FDF"/>
    <w:multiLevelType w:val="singleLevel"/>
    <w:tmpl w:val="EC1EFC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A45FE7"/>
    <w:multiLevelType w:val="singleLevel"/>
    <w:tmpl w:val="BC2C56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6252A2"/>
    <w:multiLevelType w:val="singleLevel"/>
    <w:tmpl w:val="F670C94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E73D78"/>
    <w:multiLevelType w:val="singleLevel"/>
    <w:tmpl w:val="8BB4E17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425FA9"/>
    <w:multiLevelType w:val="singleLevel"/>
    <w:tmpl w:val="A64EAC6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38D5556"/>
    <w:multiLevelType w:val="singleLevel"/>
    <w:tmpl w:val="3E8E1F2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775682"/>
    <w:multiLevelType w:val="singleLevel"/>
    <w:tmpl w:val="E9BC966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3C63AD"/>
    <w:multiLevelType w:val="singleLevel"/>
    <w:tmpl w:val="4D46090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C72829"/>
    <w:multiLevelType w:val="singleLevel"/>
    <w:tmpl w:val="EBEC529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85287E"/>
    <w:multiLevelType w:val="singleLevel"/>
    <w:tmpl w:val="664A912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C5B36B5"/>
    <w:multiLevelType w:val="singleLevel"/>
    <w:tmpl w:val="09FC73F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0095EF2"/>
    <w:multiLevelType w:val="singleLevel"/>
    <w:tmpl w:val="169005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867AD1"/>
    <w:multiLevelType w:val="singleLevel"/>
    <w:tmpl w:val="D4845A0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13210B"/>
    <w:multiLevelType w:val="singleLevel"/>
    <w:tmpl w:val="4B6284F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C56315"/>
    <w:multiLevelType w:val="singleLevel"/>
    <w:tmpl w:val="C4B4CA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7C61CD"/>
    <w:multiLevelType w:val="singleLevel"/>
    <w:tmpl w:val="C5B67A6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DA43F4"/>
    <w:multiLevelType w:val="singleLevel"/>
    <w:tmpl w:val="59A43E9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DA1FFE"/>
    <w:multiLevelType w:val="singleLevel"/>
    <w:tmpl w:val="4D46090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5D4597"/>
    <w:multiLevelType w:val="singleLevel"/>
    <w:tmpl w:val="1F7C5EE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32550E"/>
    <w:multiLevelType w:val="singleLevel"/>
    <w:tmpl w:val="24FAF60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0E6E41"/>
    <w:multiLevelType w:val="singleLevel"/>
    <w:tmpl w:val="03E8413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AF3C4C"/>
    <w:multiLevelType w:val="singleLevel"/>
    <w:tmpl w:val="BCC8F38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457F1B"/>
    <w:multiLevelType w:val="singleLevel"/>
    <w:tmpl w:val="D852803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1074A8"/>
    <w:multiLevelType w:val="singleLevel"/>
    <w:tmpl w:val="7500238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7E629A7"/>
    <w:multiLevelType w:val="singleLevel"/>
    <w:tmpl w:val="B38A23E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131EFF"/>
    <w:multiLevelType w:val="singleLevel"/>
    <w:tmpl w:val="1AFED0E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AEB7A39"/>
    <w:multiLevelType w:val="singleLevel"/>
    <w:tmpl w:val="4F5CE14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406167"/>
    <w:multiLevelType w:val="singleLevel"/>
    <w:tmpl w:val="A7C0EE4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1C6597"/>
    <w:multiLevelType w:val="singleLevel"/>
    <w:tmpl w:val="6E88CA8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930488"/>
    <w:multiLevelType w:val="singleLevel"/>
    <w:tmpl w:val="B93E0DC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A642F6"/>
    <w:multiLevelType w:val="singleLevel"/>
    <w:tmpl w:val="4D7E3E3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1036AF"/>
    <w:multiLevelType w:val="singleLevel"/>
    <w:tmpl w:val="D7E069F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5E05A6D"/>
    <w:multiLevelType w:val="singleLevel"/>
    <w:tmpl w:val="0D527E6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68407F0"/>
    <w:multiLevelType w:val="singleLevel"/>
    <w:tmpl w:val="1558401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6B84946"/>
    <w:multiLevelType w:val="singleLevel"/>
    <w:tmpl w:val="B46625E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7640B94"/>
    <w:multiLevelType w:val="singleLevel"/>
    <w:tmpl w:val="2DA0B7D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7D33C3E"/>
    <w:multiLevelType w:val="singleLevel"/>
    <w:tmpl w:val="46C21178"/>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2"/>
  </w:num>
  <w:num w:numId="3">
    <w:abstractNumId w:val="27"/>
  </w:num>
  <w:num w:numId="4">
    <w:abstractNumId w:val="0"/>
  </w:num>
  <w:num w:numId="5">
    <w:abstractNumId w:val="48"/>
  </w:num>
  <w:num w:numId="6">
    <w:abstractNumId w:val="26"/>
  </w:num>
  <w:num w:numId="7">
    <w:abstractNumId w:val="43"/>
  </w:num>
  <w:num w:numId="8">
    <w:abstractNumId w:val="8"/>
  </w:num>
  <w:num w:numId="9">
    <w:abstractNumId w:val="14"/>
  </w:num>
  <w:num w:numId="10">
    <w:abstractNumId w:val="13"/>
  </w:num>
  <w:num w:numId="11">
    <w:abstractNumId w:val="4"/>
  </w:num>
  <w:num w:numId="12">
    <w:abstractNumId w:val="45"/>
  </w:num>
  <w:num w:numId="13">
    <w:abstractNumId w:val="35"/>
  </w:num>
  <w:num w:numId="14">
    <w:abstractNumId w:val="28"/>
  </w:num>
  <w:num w:numId="15">
    <w:abstractNumId w:val="25"/>
  </w:num>
  <w:num w:numId="16">
    <w:abstractNumId w:val="39"/>
  </w:num>
  <w:num w:numId="17">
    <w:abstractNumId w:val="36"/>
  </w:num>
  <w:num w:numId="18">
    <w:abstractNumId w:val="10"/>
  </w:num>
  <w:num w:numId="19">
    <w:abstractNumId w:val="12"/>
  </w:num>
  <w:num w:numId="20">
    <w:abstractNumId w:val="47"/>
  </w:num>
  <w:num w:numId="21">
    <w:abstractNumId w:val="1"/>
  </w:num>
  <w:num w:numId="22">
    <w:abstractNumId w:val="41"/>
  </w:num>
  <w:num w:numId="23">
    <w:abstractNumId w:val="38"/>
  </w:num>
  <w:num w:numId="24">
    <w:abstractNumId w:val="40"/>
  </w:num>
  <w:num w:numId="25">
    <w:abstractNumId w:val="2"/>
  </w:num>
  <w:num w:numId="26">
    <w:abstractNumId w:val="49"/>
  </w:num>
  <w:num w:numId="27">
    <w:abstractNumId w:val="32"/>
  </w:num>
  <w:num w:numId="28">
    <w:abstractNumId w:val="34"/>
  </w:num>
  <w:num w:numId="29">
    <w:abstractNumId w:val="37"/>
  </w:num>
  <w:num w:numId="30">
    <w:abstractNumId w:val="5"/>
  </w:num>
  <w:num w:numId="31">
    <w:abstractNumId w:val="42"/>
  </w:num>
  <w:num w:numId="32">
    <w:abstractNumId w:val="6"/>
  </w:num>
  <w:num w:numId="33">
    <w:abstractNumId w:val="24"/>
  </w:num>
  <w:num w:numId="34">
    <w:abstractNumId w:val="3"/>
  </w:num>
  <w:num w:numId="35">
    <w:abstractNumId w:val="29"/>
  </w:num>
  <w:num w:numId="36">
    <w:abstractNumId w:val="18"/>
  </w:num>
  <w:num w:numId="37">
    <w:abstractNumId w:val="21"/>
  </w:num>
  <w:num w:numId="38">
    <w:abstractNumId w:val="23"/>
  </w:num>
  <w:num w:numId="39">
    <w:abstractNumId w:val="15"/>
  </w:num>
  <w:num w:numId="40">
    <w:abstractNumId w:val="33"/>
  </w:num>
  <w:num w:numId="41">
    <w:abstractNumId w:val="20"/>
  </w:num>
  <w:num w:numId="42">
    <w:abstractNumId w:val="11"/>
  </w:num>
  <w:num w:numId="43">
    <w:abstractNumId w:val="7"/>
  </w:num>
  <w:num w:numId="44">
    <w:abstractNumId w:val="44"/>
  </w:num>
  <w:num w:numId="45">
    <w:abstractNumId w:val="46"/>
  </w:num>
  <w:num w:numId="46">
    <w:abstractNumId w:val="17"/>
  </w:num>
  <w:num w:numId="47">
    <w:abstractNumId w:val="9"/>
  </w:num>
  <w:num w:numId="48">
    <w:abstractNumId w:val="31"/>
  </w:num>
  <w:num w:numId="49">
    <w:abstractNumId w:val="30"/>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0E14"/>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C0E14"/>
    <w:pPr>
      <w:spacing w:after="120"/>
    </w:pPr>
  </w:style>
  <w:style w:type="character" w:customStyle="1" w:styleId="af6">
    <w:name w:val="正文文本 字符"/>
    <w:basedOn w:val="a0"/>
    <w:link w:val="af5"/>
    <w:uiPriority w:val="99"/>
    <w:rsid w:val="001C0E1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46E19-FB1C-46B7-8D96-0E2C562ED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2026-10-25T12:18:00Z</dcterms:created>
  <dcterms:modified xsi:type="dcterms:W3CDTF">2026-10-25T12:18:00Z</dcterms:modified>
</cp:coreProperties>
</file>