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3527E559" w:rsidR="0049405C" w:rsidRPr="00187BAA" w:rsidRDefault="00511E0F" w:rsidP="00511E0F">
            <w:pPr>
              <w:spacing w:line="720" w:lineRule="auto"/>
              <w:rPr>
                <w:rFonts w:ascii="宋体" w:eastAsia="宋体" w:hAnsi="宋体"/>
                <w:color w:val="545551"/>
              </w:rPr>
            </w:pPr>
            <w:bookmarkStart w:id="0" w:name="xingming"/>
            <w:bookmarkStart w:id="1" w:name="_GoBack"/>
            <w:bookmarkEnd w:id="1"/>
            <w:r w:rsidRPr="00511E0F">
              <w:rPr>
                <w:rFonts w:ascii="宋体" w:eastAsia="宋体" w:hAnsi="Times New Roman" w:hint="eastAsia"/>
                <w:b/>
                <w:color w:val="000000"/>
                <w:sz w:val="48"/>
              </w:rPr>
              <w:t>廖婷婷</w:t>
            </w:r>
            <w:bookmarkEnd w:id="0"/>
          </w:p>
          <w:p w14:paraId="706EB16B" w14:textId="56964C91" w:rsidR="0049405C" w:rsidRPr="00187BAA" w:rsidRDefault="00511E0F" w:rsidP="00511E0F">
            <w:pPr>
              <w:spacing w:line="360" w:lineRule="auto"/>
              <w:rPr>
                <w:rFonts w:ascii="宋体" w:eastAsia="宋体" w:hAnsi="宋体"/>
                <w:b/>
                <w:bCs/>
                <w:color w:val="545551"/>
              </w:rPr>
            </w:pPr>
            <w:bookmarkStart w:id="2" w:name="didian"/>
            <w:r w:rsidRPr="00511E0F">
              <w:rPr>
                <w:rFonts w:ascii="宋体" w:eastAsia="宋体" w:hAnsi="Times New Roman" w:hint="eastAsia"/>
                <w:b/>
                <w:bCs/>
                <w:color w:val="000000"/>
              </w:rPr>
              <w:t>合伙人·上海</w:t>
            </w:r>
            <w:bookmarkEnd w:id="2"/>
          </w:p>
          <w:p w14:paraId="6199424A" w14:textId="5F042A38" w:rsidR="0049405C" w:rsidRPr="00187BAA" w:rsidRDefault="00511E0F" w:rsidP="00511E0F">
            <w:pPr>
              <w:spacing w:line="360" w:lineRule="auto"/>
              <w:rPr>
                <w:rFonts w:ascii="宋体" w:eastAsia="宋体" w:hAnsi="宋体"/>
                <w:color w:val="545551"/>
              </w:rPr>
            </w:pPr>
            <w:bookmarkStart w:id="3" w:name="dianhua"/>
            <w:r w:rsidRPr="00511E0F">
              <w:rPr>
                <w:rFonts w:ascii="宋体" w:eastAsia="宋体" w:hAnsi="Times New Roman"/>
                <w:color w:val="000000"/>
              </w:rPr>
              <w:t xml:space="preserve">+86 21 2208 1081 </w:t>
            </w:r>
            <w:bookmarkEnd w:id="3"/>
          </w:p>
          <w:p w14:paraId="4F910ACA" w14:textId="3DD4947D" w:rsidR="0049405C" w:rsidRPr="00187BAA" w:rsidRDefault="00511E0F" w:rsidP="00511E0F">
            <w:pPr>
              <w:spacing w:line="360" w:lineRule="auto"/>
              <w:rPr>
                <w:rFonts w:ascii="宋体" w:eastAsia="宋体" w:hAnsi="宋体"/>
                <w:color w:val="000000"/>
              </w:rPr>
            </w:pPr>
            <w:bookmarkStart w:id="4" w:name="youxiang"/>
            <w:r w:rsidRPr="00511E0F">
              <w:rPr>
                <w:rFonts w:ascii="宋体" w:eastAsia="宋体" w:hAnsi="Times New Roman"/>
                <w:color w:val="000000"/>
              </w:rPr>
              <w:t>tingting.liao@fangdalaw.com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67FE5B77" w:rsidR="0049405C" w:rsidRPr="00187BAA" w:rsidRDefault="00511E0F"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2407DB12" wp14:editId="1CEF4877">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1F5159B3" w:rsidR="009465FB" w:rsidRPr="00187BAA" w:rsidRDefault="00511E0F" w:rsidP="007177F3">
            <w:pPr>
              <w:rPr>
                <w:rFonts w:ascii="宋体" w:eastAsia="宋体" w:hAnsi="宋体"/>
                <w:color w:val="000000"/>
                <w:szCs w:val="21"/>
              </w:rPr>
            </w:pPr>
            <w:bookmarkStart w:id="6" w:name="zhiyelingyu"/>
            <w:r w:rsidRPr="00511E0F">
              <w:rPr>
                <w:rFonts w:ascii="宋体" w:eastAsia="宋体" w:hAnsi="Times New Roman" w:hint="eastAsia"/>
                <w:color w:val="000000"/>
                <w:szCs w:val="21"/>
              </w:rPr>
              <w:t>廖婷婷律师专注于专利诉讼、专利无效、反垄断诉讼和商业秘密争议解决。</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15ECBC20" w14:textId="77777777" w:rsidR="00511E0F"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788AE398" w14:textId="77777777" w:rsidR="00511E0F" w:rsidRDefault="00511E0F" w:rsidP="00511E0F">
      <w:pPr>
        <w:pStyle w:val="af5"/>
        <w:spacing w:after="0" w:line="480" w:lineRule="auto"/>
        <w:rPr>
          <w:rFonts w:ascii="宋体" w:eastAsia="宋体" w:hAnsi="宋体"/>
          <w:b/>
          <w:sz w:val="24"/>
        </w:rPr>
      </w:pPr>
      <w:r w:rsidRPr="00511E0F">
        <w:rPr>
          <w:rFonts w:ascii="宋体" w:eastAsia="宋体" w:hAnsi="宋体" w:hint="eastAsia"/>
          <w:b/>
          <w:sz w:val="24"/>
        </w:rPr>
        <w:t>近期代理的主要案件</w:t>
      </w:r>
    </w:p>
    <w:p w14:paraId="50162054" w14:textId="77777777" w:rsidR="00511E0F" w:rsidRDefault="00511E0F" w:rsidP="00511E0F">
      <w:pPr>
        <w:pStyle w:val="af5"/>
        <w:spacing w:before="120"/>
        <w:rPr>
          <w:rFonts w:ascii="宋体" w:eastAsia="宋体" w:hAnsi="Times New Roman"/>
          <w:color w:val="000000"/>
        </w:rPr>
      </w:pPr>
    </w:p>
    <w:p w14:paraId="2DD8944C" w14:textId="77777777" w:rsidR="00511E0F" w:rsidRDefault="00511E0F" w:rsidP="00511E0F">
      <w:pPr>
        <w:pStyle w:val="af5"/>
        <w:numPr>
          <w:ilvl w:val="0"/>
          <w:numId w:val="4"/>
        </w:numPr>
        <w:spacing w:before="120"/>
        <w:ind w:left="690" w:hanging="240"/>
        <w:rPr>
          <w:rFonts w:ascii="宋体" w:eastAsia="宋体" w:hAnsi="Times New Roman"/>
          <w:color w:val="000000"/>
        </w:rPr>
      </w:pPr>
      <w:r w:rsidRPr="00511E0F">
        <w:rPr>
          <w:rFonts w:ascii="宋体" w:eastAsia="宋体" w:hAnsi="Times New Roman" w:hint="eastAsia"/>
          <w:color w:val="000000"/>
        </w:rPr>
        <w:t>代表法国</w:t>
      </w:r>
      <w:r w:rsidRPr="00511E0F">
        <w:rPr>
          <w:rFonts w:ascii="宋体" w:eastAsia="宋体" w:hAnsi="Times New Roman"/>
          <w:color w:val="000000"/>
        </w:rPr>
        <w:t>Valeo在上海知识产权法院提起发明专利侵权诉讼，并获得上海地区知产案件的首例先行判决，该等先行判决被二审维持有效。该案二审也成为最高人民法院知识产权法庭的</w:t>
      </w:r>
      <w:r w:rsidRPr="00511E0F">
        <w:rPr>
          <w:rFonts w:ascii="宋体" w:eastAsia="宋体" w:hAnsi="Times New Roman"/>
          <w:color w:val="000000"/>
        </w:rPr>
        <w:t>“</w:t>
      </w:r>
      <w:r w:rsidRPr="00511E0F">
        <w:rPr>
          <w:rFonts w:ascii="宋体" w:eastAsia="宋体" w:hAnsi="Times New Roman"/>
          <w:color w:val="000000"/>
        </w:rPr>
        <w:t>第一槌</w:t>
      </w:r>
      <w:r w:rsidRPr="00511E0F">
        <w:rPr>
          <w:rFonts w:ascii="宋体" w:eastAsia="宋体" w:hAnsi="Times New Roman"/>
          <w:color w:val="000000"/>
        </w:rPr>
        <w:t>”</w:t>
      </w:r>
      <w:r w:rsidRPr="00511E0F">
        <w:rPr>
          <w:rFonts w:ascii="宋体" w:eastAsia="宋体" w:hAnsi="Times New Roman"/>
          <w:color w:val="000000"/>
        </w:rPr>
        <w:t>，并被最高人民法院评选为2019年中国法院十大知识产权案件之一</w:t>
      </w:r>
    </w:p>
    <w:p w14:paraId="54C8CB55" w14:textId="77777777" w:rsidR="00511E0F" w:rsidRDefault="00511E0F" w:rsidP="00511E0F">
      <w:pPr>
        <w:pStyle w:val="af5"/>
        <w:numPr>
          <w:ilvl w:val="0"/>
          <w:numId w:val="5"/>
        </w:numPr>
        <w:spacing w:before="120"/>
        <w:ind w:left="690" w:hanging="240"/>
        <w:rPr>
          <w:rFonts w:ascii="宋体" w:eastAsia="宋体" w:hAnsi="Times New Roman"/>
          <w:color w:val="000000"/>
        </w:rPr>
      </w:pPr>
      <w:r w:rsidRPr="00511E0F">
        <w:rPr>
          <w:rFonts w:ascii="宋体" w:eastAsia="宋体" w:hAnsi="Times New Roman" w:hint="eastAsia"/>
          <w:color w:val="000000"/>
        </w:rPr>
        <w:t>代表摩拜应对某个人在上海知识产权法院提起的专利侵权诉讼及随后在上海市高级人民法院提起的二审和最高人民法院的再审程序，并获得胜诉。该案被最高人民法院评选为</w:t>
      </w:r>
      <w:r w:rsidRPr="00511E0F">
        <w:rPr>
          <w:rFonts w:ascii="宋体" w:eastAsia="宋体" w:hAnsi="Times New Roman"/>
          <w:color w:val="000000"/>
        </w:rPr>
        <w:t>2018年中国法院50件典型知识产权案例之一</w:t>
      </w:r>
    </w:p>
    <w:p w14:paraId="060CFEFA" w14:textId="77777777" w:rsidR="00511E0F" w:rsidRDefault="00511E0F" w:rsidP="00511E0F">
      <w:pPr>
        <w:pStyle w:val="af5"/>
        <w:numPr>
          <w:ilvl w:val="0"/>
          <w:numId w:val="6"/>
        </w:numPr>
        <w:spacing w:before="120"/>
        <w:ind w:left="690" w:hanging="240"/>
        <w:rPr>
          <w:rFonts w:ascii="宋体" w:eastAsia="宋体" w:hAnsi="Times New Roman"/>
          <w:color w:val="000000"/>
        </w:rPr>
      </w:pPr>
      <w:r w:rsidRPr="00511E0F">
        <w:rPr>
          <w:rFonts w:ascii="宋体" w:eastAsia="宋体" w:hAnsi="Times New Roman" w:hint="eastAsia"/>
          <w:color w:val="000000"/>
        </w:rPr>
        <w:t>代表美国</w:t>
      </w:r>
      <w:r w:rsidRPr="00511E0F">
        <w:rPr>
          <w:rFonts w:ascii="宋体" w:eastAsia="宋体" w:hAnsi="Times New Roman"/>
          <w:color w:val="000000"/>
        </w:rPr>
        <w:t>Interdigital在深圳市中级人民法院、广东省高级人民法院、江苏省高级人民法院和最高人民法院应对一系列在中国的涉及相关无线通信标准必要专利许可的民事诉讼。其中一起案件被评选为2013年中国法院十大知识产权案件之一</w:t>
      </w:r>
    </w:p>
    <w:p w14:paraId="4D6C5C3E" w14:textId="77777777" w:rsidR="00511E0F" w:rsidRDefault="00511E0F" w:rsidP="00511E0F">
      <w:pPr>
        <w:pStyle w:val="af5"/>
        <w:numPr>
          <w:ilvl w:val="0"/>
          <w:numId w:val="7"/>
        </w:numPr>
        <w:spacing w:before="120"/>
        <w:ind w:left="690" w:hanging="240"/>
        <w:rPr>
          <w:rFonts w:ascii="宋体" w:eastAsia="宋体" w:hAnsi="Times New Roman"/>
          <w:color w:val="000000"/>
        </w:rPr>
      </w:pPr>
      <w:r w:rsidRPr="00511E0F">
        <w:rPr>
          <w:rFonts w:ascii="宋体" w:eastAsia="宋体" w:hAnsi="Times New Roman" w:hint="eastAsia"/>
          <w:color w:val="000000"/>
        </w:rPr>
        <w:t>代表美国</w:t>
      </w:r>
      <w:r w:rsidRPr="00511E0F">
        <w:rPr>
          <w:rFonts w:ascii="宋体" w:eastAsia="宋体" w:hAnsi="Times New Roman"/>
          <w:color w:val="000000"/>
        </w:rPr>
        <w:t>Interdigital应对数十起专利无效宣告请求案件及相关行政诉讼，并获得多件有利决定和/或判决，维持了大部分专利的有效性</w:t>
      </w:r>
    </w:p>
    <w:p w14:paraId="141FAD36" w14:textId="77777777" w:rsidR="00511E0F" w:rsidRDefault="00511E0F" w:rsidP="00511E0F">
      <w:pPr>
        <w:pStyle w:val="af5"/>
        <w:numPr>
          <w:ilvl w:val="0"/>
          <w:numId w:val="8"/>
        </w:numPr>
        <w:spacing w:before="120"/>
        <w:ind w:left="690" w:hanging="240"/>
        <w:rPr>
          <w:rFonts w:ascii="宋体" w:eastAsia="宋体" w:hAnsi="Times New Roman"/>
          <w:color w:val="000000"/>
        </w:rPr>
      </w:pPr>
      <w:r w:rsidRPr="00511E0F">
        <w:rPr>
          <w:rFonts w:ascii="宋体" w:eastAsia="宋体" w:hAnsi="Times New Roman" w:hint="eastAsia"/>
          <w:color w:val="000000"/>
        </w:rPr>
        <w:t>代表上海当当电子科技有限公司在最高人民法院成功地获得了针对一起商业秘密侵权案件的再审</w:t>
      </w:r>
    </w:p>
    <w:p w14:paraId="1600ECAF" w14:textId="77777777" w:rsidR="00511E0F" w:rsidRDefault="00511E0F" w:rsidP="00511E0F">
      <w:pPr>
        <w:pStyle w:val="af5"/>
        <w:numPr>
          <w:ilvl w:val="0"/>
          <w:numId w:val="9"/>
        </w:numPr>
        <w:spacing w:before="120"/>
        <w:ind w:left="690" w:hanging="240"/>
        <w:rPr>
          <w:rFonts w:ascii="宋体" w:eastAsia="宋体" w:hAnsi="Times New Roman"/>
          <w:color w:val="000000"/>
        </w:rPr>
      </w:pPr>
      <w:r w:rsidRPr="00511E0F">
        <w:rPr>
          <w:rFonts w:ascii="宋体" w:eastAsia="宋体" w:hAnsi="Times New Roman" w:hint="eastAsia"/>
          <w:color w:val="000000"/>
        </w:rPr>
        <w:t>代表美国</w:t>
      </w:r>
      <w:r w:rsidRPr="00511E0F">
        <w:rPr>
          <w:rFonts w:ascii="宋体" w:eastAsia="宋体" w:hAnsi="Times New Roman"/>
          <w:color w:val="000000"/>
        </w:rPr>
        <w:t>Nordson Corporation在上海知识产权法院提起系列发明专利侵权诉讼，并获得胜诉</w:t>
      </w:r>
    </w:p>
    <w:p w14:paraId="76798776" w14:textId="77777777" w:rsidR="00511E0F" w:rsidRDefault="00511E0F" w:rsidP="00511E0F">
      <w:pPr>
        <w:pStyle w:val="af5"/>
        <w:numPr>
          <w:ilvl w:val="0"/>
          <w:numId w:val="10"/>
        </w:numPr>
        <w:spacing w:before="120"/>
        <w:ind w:left="690" w:hanging="240"/>
        <w:rPr>
          <w:rFonts w:ascii="宋体" w:eastAsia="宋体" w:hAnsi="Times New Roman"/>
          <w:color w:val="000000"/>
        </w:rPr>
      </w:pPr>
      <w:r w:rsidRPr="00511E0F">
        <w:rPr>
          <w:rFonts w:ascii="宋体" w:eastAsia="宋体" w:hAnsi="Times New Roman" w:hint="eastAsia"/>
          <w:color w:val="000000"/>
        </w:rPr>
        <w:t>代表维苏威太阳能坩埚（苏州）有限公司在苏州市中级人民法院针对其中国竞争对手及前雇员提起技术秘密侵权诉讼，并获得胜诉</w:t>
      </w:r>
    </w:p>
    <w:p w14:paraId="6C1C4175" w14:textId="77777777" w:rsidR="00511E0F" w:rsidRDefault="00511E0F" w:rsidP="00511E0F">
      <w:pPr>
        <w:pStyle w:val="af5"/>
        <w:numPr>
          <w:ilvl w:val="0"/>
          <w:numId w:val="11"/>
        </w:numPr>
        <w:spacing w:before="120"/>
        <w:ind w:left="690" w:hanging="240"/>
        <w:rPr>
          <w:rFonts w:ascii="宋体" w:eastAsia="宋体" w:hAnsi="Times New Roman"/>
          <w:color w:val="000000"/>
        </w:rPr>
      </w:pPr>
      <w:r w:rsidRPr="00511E0F">
        <w:rPr>
          <w:rFonts w:ascii="宋体" w:eastAsia="宋体" w:hAnsi="Times New Roman" w:hint="eastAsia"/>
          <w:color w:val="000000"/>
        </w:rPr>
        <w:t>代表美国</w:t>
      </w:r>
      <w:r w:rsidRPr="00511E0F">
        <w:rPr>
          <w:rFonts w:ascii="宋体" w:eastAsia="宋体" w:hAnsi="Times New Roman"/>
          <w:color w:val="000000"/>
        </w:rPr>
        <w:t>Power Integration应对由一家国际知名半导体生产商在苏州市中级人民法院提起的系列涉及电源控制装置的发明专利侵权诉讼，并获得胜诉</w:t>
      </w:r>
    </w:p>
    <w:p w14:paraId="0EACD292" w14:textId="77777777" w:rsidR="00511E0F" w:rsidRDefault="00511E0F" w:rsidP="00511E0F">
      <w:pPr>
        <w:pStyle w:val="af5"/>
        <w:numPr>
          <w:ilvl w:val="0"/>
          <w:numId w:val="12"/>
        </w:numPr>
        <w:spacing w:before="120"/>
        <w:ind w:left="690" w:hanging="240"/>
        <w:rPr>
          <w:rFonts w:ascii="宋体" w:eastAsia="宋体" w:hAnsi="Times New Roman"/>
          <w:color w:val="000000"/>
        </w:rPr>
      </w:pPr>
      <w:r w:rsidRPr="00511E0F">
        <w:rPr>
          <w:rFonts w:ascii="宋体" w:eastAsia="宋体" w:hAnsi="Times New Roman" w:hint="eastAsia"/>
          <w:color w:val="000000"/>
        </w:rPr>
        <w:t>代表法国欧莱雅在上海市第一中级人民法院、宁波市中级人民法院提起系列发明专利侵权诉讼，并获得胜诉</w:t>
      </w:r>
    </w:p>
    <w:p w14:paraId="0FEE15EE" w14:textId="77777777" w:rsidR="00511E0F" w:rsidRDefault="00511E0F" w:rsidP="00511E0F">
      <w:pPr>
        <w:pStyle w:val="af5"/>
        <w:numPr>
          <w:ilvl w:val="0"/>
          <w:numId w:val="13"/>
        </w:numPr>
        <w:spacing w:before="120"/>
        <w:ind w:left="690" w:hanging="240"/>
        <w:rPr>
          <w:rFonts w:ascii="宋体" w:eastAsia="宋体" w:hAnsi="Times New Roman"/>
          <w:color w:val="000000"/>
        </w:rPr>
      </w:pPr>
      <w:r w:rsidRPr="00511E0F">
        <w:rPr>
          <w:rFonts w:ascii="宋体" w:eastAsia="宋体" w:hAnsi="Times New Roman" w:hint="eastAsia"/>
          <w:color w:val="000000"/>
        </w:rPr>
        <w:t>代表丹麦</w:t>
      </w:r>
      <w:r w:rsidRPr="00511E0F">
        <w:rPr>
          <w:rFonts w:ascii="宋体" w:eastAsia="宋体" w:hAnsi="Times New Roman"/>
          <w:color w:val="000000"/>
        </w:rPr>
        <w:t>GN Netcom公司在宁波市中级人民法院提起外观设计专利侵权诉讼，并应对一起确认不侵权诉讼，获得胜诉</w:t>
      </w:r>
    </w:p>
    <w:p w14:paraId="5729F2A0" w14:textId="77777777" w:rsidR="00511E0F" w:rsidRDefault="00511E0F" w:rsidP="00511E0F">
      <w:pPr>
        <w:pStyle w:val="af5"/>
        <w:numPr>
          <w:ilvl w:val="0"/>
          <w:numId w:val="14"/>
        </w:numPr>
        <w:spacing w:before="120"/>
        <w:ind w:left="690" w:hanging="240"/>
        <w:rPr>
          <w:rFonts w:ascii="宋体" w:eastAsia="宋体" w:hAnsi="Times New Roman"/>
          <w:color w:val="000000"/>
        </w:rPr>
      </w:pPr>
      <w:r w:rsidRPr="00511E0F">
        <w:rPr>
          <w:rFonts w:ascii="宋体" w:eastAsia="宋体" w:hAnsi="Times New Roman" w:hint="eastAsia"/>
          <w:color w:val="000000"/>
        </w:rPr>
        <w:t>代表诺华在苏州市中级人民法院提起针对其前员工的商业秘密侵权，最终双方通过和解结案</w:t>
      </w:r>
    </w:p>
    <w:p w14:paraId="1AEDEA7C" w14:textId="77777777" w:rsidR="00511E0F" w:rsidRDefault="00511E0F" w:rsidP="00511E0F">
      <w:pPr>
        <w:pStyle w:val="af5"/>
        <w:numPr>
          <w:ilvl w:val="0"/>
          <w:numId w:val="15"/>
        </w:numPr>
        <w:spacing w:before="120"/>
        <w:ind w:left="690" w:hanging="240"/>
        <w:rPr>
          <w:rFonts w:ascii="宋体" w:eastAsia="宋体" w:hAnsi="Times New Roman"/>
          <w:color w:val="000000"/>
        </w:rPr>
      </w:pPr>
      <w:r w:rsidRPr="00511E0F">
        <w:rPr>
          <w:rFonts w:ascii="宋体" w:eastAsia="宋体" w:hAnsi="Times New Roman" w:hint="eastAsia"/>
          <w:color w:val="000000"/>
        </w:rPr>
        <w:t>代表多家国内外企业在投资、并购等项目中进行知识产权尽职调查</w:t>
      </w:r>
    </w:p>
    <w:p w14:paraId="64358184" w14:textId="77777777" w:rsidR="00511E0F" w:rsidRDefault="00511E0F" w:rsidP="00511E0F">
      <w:pPr>
        <w:pStyle w:val="af5"/>
        <w:spacing w:after="0" w:line="480" w:lineRule="auto"/>
        <w:rPr>
          <w:rFonts w:ascii="宋体" w:eastAsia="宋体" w:hAnsi="宋体"/>
          <w:b/>
          <w:sz w:val="24"/>
        </w:rPr>
      </w:pPr>
      <w:r w:rsidRPr="00511E0F">
        <w:rPr>
          <w:rFonts w:ascii="宋体" w:eastAsia="宋体" w:hAnsi="宋体" w:hint="eastAsia"/>
          <w:b/>
          <w:sz w:val="24"/>
        </w:rPr>
        <w:t>教育背景</w:t>
      </w:r>
    </w:p>
    <w:p w14:paraId="1BDAE227" w14:textId="77777777" w:rsidR="00511E0F" w:rsidRDefault="00511E0F" w:rsidP="00511E0F">
      <w:pPr>
        <w:pStyle w:val="af5"/>
        <w:numPr>
          <w:ilvl w:val="0"/>
          <w:numId w:val="16"/>
        </w:numPr>
        <w:spacing w:before="120"/>
        <w:ind w:left="690" w:hanging="240"/>
        <w:rPr>
          <w:rFonts w:ascii="宋体" w:eastAsia="宋体" w:hAnsi="Times New Roman"/>
          <w:color w:val="000000"/>
        </w:rPr>
      </w:pPr>
      <w:r w:rsidRPr="00511E0F">
        <w:rPr>
          <w:rFonts w:ascii="宋体" w:eastAsia="宋体" w:hAnsi="Times New Roman" w:hint="eastAsia"/>
          <w:color w:val="000000"/>
        </w:rPr>
        <w:t>北京大学，法律硕士</w:t>
      </w:r>
    </w:p>
    <w:p w14:paraId="7159DBE8" w14:textId="77777777" w:rsidR="00511E0F" w:rsidRDefault="00511E0F" w:rsidP="00511E0F">
      <w:pPr>
        <w:pStyle w:val="af5"/>
        <w:numPr>
          <w:ilvl w:val="0"/>
          <w:numId w:val="17"/>
        </w:numPr>
        <w:spacing w:before="120"/>
        <w:ind w:left="690" w:hanging="240"/>
        <w:rPr>
          <w:rFonts w:ascii="宋体" w:eastAsia="宋体" w:hAnsi="Times New Roman"/>
          <w:color w:val="000000"/>
        </w:rPr>
      </w:pPr>
      <w:r w:rsidRPr="00511E0F">
        <w:rPr>
          <w:rFonts w:ascii="宋体" w:eastAsia="宋体" w:hAnsi="Times New Roman" w:hint="eastAsia"/>
          <w:color w:val="000000"/>
        </w:rPr>
        <w:t>西北工业大学，工程力学学士</w:t>
      </w:r>
    </w:p>
    <w:p w14:paraId="369A8B65" w14:textId="77777777" w:rsidR="00511E0F" w:rsidRDefault="00511E0F" w:rsidP="00511E0F">
      <w:pPr>
        <w:pStyle w:val="af5"/>
        <w:spacing w:after="0" w:line="480" w:lineRule="auto"/>
        <w:rPr>
          <w:rFonts w:ascii="宋体" w:eastAsia="宋体" w:hAnsi="宋体"/>
          <w:b/>
          <w:sz w:val="24"/>
        </w:rPr>
      </w:pPr>
      <w:r w:rsidRPr="00511E0F">
        <w:rPr>
          <w:rFonts w:ascii="宋体" w:eastAsia="宋体" w:hAnsi="宋体" w:hint="eastAsia"/>
          <w:b/>
          <w:sz w:val="24"/>
        </w:rPr>
        <w:t>执业资格</w:t>
      </w:r>
    </w:p>
    <w:p w14:paraId="73C80335" w14:textId="77777777" w:rsidR="00511E0F" w:rsidRDefault="00511E0F" w:rsidP="00511E0F">
      <w:pPr>
        <w:pStyle w:val="af5"/>
        <w:numPr>
          <w:ilvl w:val="0"/>
          <w:numId w:val="18"/>
        </w:numPr>
        <w:spacing w:before="120"/>
        <w:ind w:left="690" w:hanging="240"/>
        <w:rPr>
          <w:rFonts w:ascii="宋体" w:eastAsia="宋体" w:hAnsi="Times New Roman"/>
          <w:color w:val="000000"/>
        </w:rPr>
      </w:pPr>
      <w:r w:rsidRPr="00511E0F">
        <w:rPr>
          <w:rFonts w:ascii="宋体" w:eastAsia="宋体" w:hAnsi="Times New Roman" w:hint="eastAsia"/>
          <w:color w:val="000000"/>
        </w:rPr>
        <w:t>中华人民共和国执业律师</w:t>
      </w:r>
    </w:p>
    <w:p w14:paraId="5151C164" w14:textId="77777777" w:rsidR="00511E0F" w:rsidRDefault="00511E0F" w:rsidP="00511E0F">
      <w:pPr>
        <w:pStyle w:val="af5"/>
        <w:numPr>
          <w:ilvl w:val="0"/>
          <w:numId w:val="19"/>
        </w:numPr>
        <w:spacing w:before="120"/>
        <w:ind w:left="690" w:hanging="240"/>
        <w:rPr>
          <w:rFonts w:ascii="宋体" w:eastAsia="宋体" w:hAnsi="Times New Roman"/>
          <w:color w:val="000000"/>
        </w:rPr>
      </w:pPr>
      <w:r w:rsidRPr="00511E0F">
        <w:rPr>
          <w:rFonts w:ascii="宋体" w:eastAsia="宋体" w:hAnsi="Times New Roman" w:hint="eastAsia"/>
          <w:color w:val="000000"/>
        </w:rPr>
        <w:t>中华人民共和国专利代理人资格</w:t>
      </w:r>
    </w:p>
    <w:p w14:paraId="1987FE5F" w14:textId="77777777" w:rsidR="00511E0F" w:rsidRDefault="00511E0F" w:rsidP="00511E0F">
      <w:pPr>
        <w:pStyle w:val="af5"/>
        <w:spacing w:after="0" w:line="480" w:lineRule="auto"/>
        <w:rPr>
          <w:rFonts w:ascii="宋体" w:eastAsia="宋体" w:hAnsi="宋体"/>
          <w:b/>
          <w:sz w:val="24"/>
        </w:rPr>
      </w:pPr>
      <w:r w:rsidRPr="00511E0F">
        <w:rPr>
          <w:rFonts w:ascii="宋体" w:eastAsia="宋体" w:hAnsi="宋体" w:hint="eastAsia"/>
          <w:b/>
          <w:sz w:val="24"/>
        </w:rPr>
        <w:t>工作语言</w:t>
      </w:r>
    </w:p>
    <w:p w14:paraId="6FA79F5C" w14:textId="77777777" w:rsidR="00511E0F" w:rsidRDefault="00511E0F" w:rsidP="00511E0F">
      <w:pPr>
        <w:pStyle w:val="af5"/>
        <w:numPr>
          <w:ilvl w:val="0"/>
          <w:numId w:val="20"/>
        </w:numPr>
        <w:spacing w:before="120"/>
        <w:ind w:left="690" w:hanging="240"/>
        <w:rPr>
          <w:rFonts w:ascii="宋体" w:eastAsia="宋体" w:hAnsi="Times New Roman"/>
          <w:color w:val="000000"/>
        </w:rPr>
      </w:pPr>
      <w:r w:rsidRPr="00511E0F">
        <w:rPr>
          <w:rFonts w:ascii="宋体" w:eastAsia="宋体" w:hAnsi="Times New Roman" w:hint="eastAsia"/>
          <w:color w:val="000000"/>
        </w:rPr>
        <w:t>中文</w:t>
      </w:r>
    </w:p>
    <w:p w14:paraId="4F0A196B" w14:textId="0C99850F" w:rsidR="00A46A04" w:rsidRPr="00511E0F" w:rsidRDefault="00511E0F" w:rsidP="00511E0F">
      <w:pPr>
        <w:pStyle w:val="af5"/>
        <w:numPr>
          <w:ilvl w:val="0"/>
          <w:numId w:val="21"/>
        </w:numPr>
        <w:spacing w:before="120"/>
        <w:ind w:left="690" w:hanging="240"/>
        <w:rPr>
          <w:rFonts w:ascii="宋体" w:eastAsia="宋体" w:hAnsi="Times New Roman"/>
          <w:color w:val="000000"/>
        </w:rPr>
      </w:pPr>
      <w:r w:rsidRPr="00511E0F">
        <w:rPr>
          <w:rFonts w:ascii="宋体" w:eastAsia="宋体" w:hAnsi="Times New Roman" w:hint="eastAsia"/>
          <w:color w:val="000000"/>
        </w:rPr>
        <w:t>英文</w:t>
      </w:r>
    </w:p>
    <w:sectPr w:rsidR="00A46A04" w:rsidRPr="00511E0F"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794E27"/>
    <w:multiLevelType w:val="singleLevel"/>
    <w:tmpl w:val="22244126"/>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1EA2861"/>
    <w:multiLevelType w:val="singleLevel"/>
    <w:tmpl w:val="BA4204E4"/>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25B7E6C"/>
    <w:multiLevelType w:val="singleLevel"/>
    <w:tmpl w:val="F12241A6"/>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F817E04"/>
    <w:multiLevelType w:val="singleLevel"/>
    <w:tmpl w:val="526A3F1E"/>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18DA177E"/>
    <w:multiLevelType w:val="singleLevel"/>
    <w:tmpl w:val="6B82BE96"/>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1A100C3A"/>
    <w:multiLevelType w:val="singleLevel"/>
    <w:tmpl w:val="BBD0B6DC"/>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1FC75B1D"/>
    <w:multiLevelType w:val="singleLevel"/>
    <w:tmpl w:val="8E388CBA"/>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24877A7F"/>
    <w:multiLevelType w:val="singleLevel"/>
    <w:tmpl w:val="F12241A6"/>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27DE1760"/>
    <w:multiLevelType w:val="singleLevel"/>
    <w:tmpl w:val="91B8CF2C"/>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29AE2F8C"/>
    <w:multiLevelType w:val="singleLevel"/>
    <w:tmpl w:val="CAF827C2"/>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1"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2" w15:restartNumberingAfterBreak="0">
    <w:nsid w:val="46281F1D"/>
    <w:multiLevelType w:val="singleLevel"/>
    <w:tmpl w:val="2F9E1C50"/>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49685860"/>
    <w:multiLevelType w:val="singleLevel"/>
    <w:tmpl w:val="D0D4047C"/>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49C9651A"/>
    <w:multiLevelType w:val="singleLevel"/>
    <w:tmpl w:val="1286E4D0"/>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4B83241E"/>
    <w:multiLevelType w:val="singleLevel"/>
    <w:tmpl w:val="3528BA0C"/>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5A4C519A"/>
    <w:multiLevelType w:val="singleLevel"/>
    <w:tmpl w:val="68DE87C0"/>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5B3974CB"/>
    <w:multiLevelType w:val="singleLevel"/>
    <w:tmpl w:val="7724FC28"/>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5E57747C"/>
    <w:multiLevelType w:val="singleLevel"/>
    <w:tmpl w:val="97340D12"/>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645E3F10"/>
    <w:multiLevelType w:val="singleLevel"/>
    <w:tmpl w:val="38B62426"/>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7AB13B55"/>
    <w:multiLevelType w:val="singleLevel"/>
    <w:tmpl w:val="C3A673F4"/>
    <w:lvl w:ilvl="0">
      <w:start w:val="1"/>
      <w:numFmt w:val="bullet"/>
      <w:lvlText w:val=""/>
      <w:lvlJc w:val="left"/>
      <w:pPr>
        <w:tabs>
          <w:tab w:val="num" w:pos="200"/>
        </w:tabs>
        <w:ind w:left="200" w:hanging="200"/>
      </w:pPr>
      <w:rPr>
        <w:rFonts w:ascii="Wingdings" w:hAnsi="Wingdings" w:hint="default"/>
        <w:sz w:val="16"/>
      </w:rPr>
    </w:lvl>
  </w:abstractNum>
  <w:num w:numId="1">
    <w:abstractNumId w:val="10"/>
  </w:num>
  <w:num w:numId="2">
    <w:abstractNumId w:val="11"/>
  </w:num>
  <w:num w:numId="3">
    <w:abstractNumId w:val="12"/>
  </w:num>
  <w:num w:numId="4">
    <w:abstractNumId w:val="14"/>
  </w:num>
  <w:num w:numId="5">
    <w:abstractNumId w:val="15"/>
  </w:num>
  <w:num w:numId="6">
    <w:abstractNumId w:val="1"/>
  </w:num>
  <w:num w:numId="7">
    <w:abstractNumId w:val="3"/>
  </w:num>
  <w:num w:numId="8">
    <w:abstractNumId w:val="20"/>
  </w:num>
  <w:num w:numId="9">
    <w:abstractNumId w:val="18"/>
  </w:num>
  <w:num w:numId="10">
    <w:abstractNumId w:val="16"/>
  </w:num>
  <w:num w:numId="11">
    <w:abstractNumId w:val="4"/>
  </w:num>
  <w:num w:numId="12">
    <w:abstractNumId w:val="0"/>
  </w:num>
  <w:num w:numId="13">
    <w:abstractNumId w:val="19"/>
  </w:num>
  <w:num w:numId="14">
    <w:abstractNumId w:val="9"/>
  </w:num>
  <w:num w:numId="15">
    <w:abstractNumId w:val="17"/>
  </w:num>
  <w:num w:numId="16">
    <w:abstractNumId w:val="8"/>
  </w:num>
  <w:num w:numId="17">
    <w:abstractNumId w:val="6"/>
  </w:num>
  <w:num w:numId="18">
    <w:abstractNumId w:val="5"/>
  </w:num>
  <w:num w:numId="19">
    <w:abstractNumId w:val="13"/>
  </w:num>
  <w:num w:numId="20">
    <w:abstractNumId w:val="7"/>
  </w:num>
  <w:num w:numId="2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117159"/>
    <w:rsid w:val="00125C18"/>
    <w:rsid w:val="00130740"/>
    <w:rsid w:val="0013186C"/>
    <w:rsid w:val="0013719D"/>
    <w:rsid w:val="0014231B"/>
    <w:rsid w:val="001526EA"/>
    <w:rsid w:val="0018186F"/>
    <w:rsid w:val="00187BAA"/>
    <w:rsid w:val="00191736"/>
    <w:rsid w:val="001B6F7E"/>
    <w:rsid w:val="001C7F4F"/>
    <w:rsid w:val="001F7789"/>
    <w:rsid w:val="00211603"/>
    <w:rsid w:val="00223B3F"/>
    <w:rsid w:val="0022458A"/>
    <w:rsid w:val="00230A13"/>
    <w:rsid w:val="00232FF3"/>
    <w:rsid w:val="00253EDA"/>
    <w:rsid w:val="00265470"/>
    <w:rsid w:val="00283DAB"/>
    <w:rsid w:val="002932C9"/>
    <w:rsid w:val="002A35FF"/>
    <w:rsid w:val="002A4932"/>
    <w:rsid w:val="002B1F71"/>
    <w:rsid w:val="002D0826"/>
    <w:rsid w:val="00300420"/>
    <w:rsid w:val="0034020A"/>
    <w:rsid w:val="00351712"/>
    <w:rsid w:val="00353486"/>
    <w:rsid w:val="0036384C"/>
    <w:rsid w:val="00370676"/>
    <w:rsid w:val="003B4410"/>
    <w:rsid w:val="003D196D"/>
    <w:rsid w:val="004416E4"/>
    <w:rsid w:val="00451233"/>
    <w:rsid w:val="004570F8"/>
    <w:rsid w:val="0047636D"/>
    <w:rsid w:val="0049405C"/>
    <w:rsid w:val="004D21F0"/>
    <w:rsid w:val="004D3C23"/>
    <w:rsid w:val="004F1B4E"/>
    <w:rsid w:val="00511E0F"/>
    <w:rsid w:val="0051302C"/>
    <w:rsid w:val="0052675C"/>
    <w:rsid w:val="00534C3E"/>
    <w:rsid w:val="0056635E"/>
    <w:rsid w:val="005A7DA0"/>
    <w:rsid w:val="005B5F25"/>
    <w:rsid w:val="005C1FBD"/>
    <w:rsid w:val="005F7A7D"/>
    <w:rsid w:val="00605720"/>
    <w:rsid w:val="0060789D"/>
    <w:rsid w:val="0065437B"/>
    <w:rsid w:val="00683D9C"/>
    <w:rsid w:val="00685381"/>
    <w:rsid w:val="00686369"/>
    <w:rsid w:val="006A06C2"/>
    <w:rsid w:val="006C21DA"/>
    <w:rsid w:val="006D159B"/>
    <w:rsid w:val="006F2EE4"/>
    <w:rsid w:val="007177F3"/>
    <w:rsid w:val="007619FC"/>
    <w:rsid w:val="00765586"/>
    <w:rsid w:val="007664DE"/>
    <w:rsid w:val="00793506"/>
    <w:rsid w:val="007956B7"/>
    <w:rsid w:val="00797963"/>
    <w:rsid w:val="007B0B57"/>
    <w:rsid w:val="007B358C"/>
    <w:rsid w:val="007D333B"/>
    <w:rsid w:val="007E0C16"/>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6108"/>
    <w:rsid w:val="009E20C4"/>
    <w:rsid w:val="009E6F47"/>
    <w:rsid w:val="00A002B6"/>
    <w:rsid w:val="00A1252B"/>
    <w:rsid w:val="00A1585C"/>
    <w:rsid w:val="00A41685"/>
    <w:rsid w:val="00A46A04"/>
    <w:rsid w:val="00A64BF0"/>
    <w:rsid w:val="00A81B38"/>
    <w:rsid w:val="00B05840"/>
    <w:rsid w:val="00B37E04"/>
    <w:rsid w:val="00B557D1"/>
    <w:rsid w:val="00B62E87"/>
    <w:rsid w:val="00B74FA2"/>
    <w:rsid w:val="00B841FF"/>
    <w:rsid w:val="00B86E39"/>
    <w:rsid w:val="00BB071E"/>
    <w:rsid w:val="00BB2601"/>
    <w:rsid w:val="00C0316A"/>
    <w:rsid w:val="00CB67C6"/>
    <w:rsid w:val="00CD0348"/>
    <w:rsid w:val="00D1552C"/>
    <w:rsid w:val="00D15D6B"/>
    <w:rsid w:val="00D2284D"/>
    <w:rsid w:val="00D45AF6"/>
    <w:rsid w:val="00D603A3"/>
    <w:rsid w:val="00D632AE"/>
    <w:rsid w:val="00D925CA"/>
    <w:rsid w:val="00DA3581"/>
    <w:rsid w:val="00DA428A"/>
    <w:rsid w:val="00DA626A"/>
    <w:rsid w:val="00DD0D33"/>
    <w:rsid w:val="00E25360"/>
    <w:rsid w:val="00E34189"/>
    <w:rsid w:val="00E418B1"/>
    <w:rsid w:val="00E44063"/>
    <w:rsid w:val="00E70303"/>
    <w:rsid w:val="00E7710E"/>
    <w:rsid w:val="00F07BEB"/>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511E0F"/>
    <w:pPr>
      <w:spacing w:after="120"/>
    </w:pPr>
  </w:style>
  <w:style w:type="character" w:customStyle="1" w:styleId="af6">
    <w:name w:val="正文文本 字符"/>
    <w:basedOn w:val="a0"/>
    <w:link w:val="af5"/>
    <w:uiPriority w:val="99"/>
    <w:rsid w:val="00511E0F"/>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2AB3CC2-9BB9-4E24-B992-46887708FE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147</Words>
  <Characters>844</Characters>
  <Application>Microsoft Office Word</Application>
  <DocSecurity>0</DocSecurity>
  <Lines>7</Lines>
  <Paragraphs>1</Paragraphs>
  <ScaleCrop>false</ScaleCrop>
  <Company/>
  <LinksUpToDate>false</LinksUpToDate>
  <CharactersWithSpaces>990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2026-05-09T19:28:00Z</dcterms:created>
  <dcterms:modified xsi:type="dcterms:W3CDTF">2026-05-09T19:28:00Z</dcterms:modified>
</cp:coreProperties>
</file>