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8FF1A16" w:rsidR="0049405C" w:rsidRPr="00187BAA" w:rsidRDefault="00672BE0" w:rsidP="00672BE0">
            <w:pPr>
              <w:spacing w:line="720" w:lineRule="auto"/>
              <w:rPr>
                <w:rFonts w:ascii="宋体" w:eastAsia="宋体" w:hAnsi="宋体"/>
                <w:color w:val="545551"/>
              </w:rPr>
            </w:pPr>
            <w:bookmarkStart w:id="0" w:name="xingming"/>
            <w:bookmarkStart w:id="1" w:name="_GoBack"/>
            <w:bookmarkEnd w:id="1"/>
            <w:r w:rsidRPr="00672BE0">
              <w:rPr>
                <w:rFonts w:ascii="宋体" w:eastAsia="宋体" w:hAnsi="Times New Roman" w:hint="eastAsia"/>
                <w:b/>
                <w:color w:val="000000"/>
                <w:sz w:val="48"/>
              </w:rPr>
              <w:t>任志毅</w:t>
            </w:r>
            <w:bookmarkEnd w:id="0"/>
          </w:p>
          <w:p w14:paraId="706EB16B" w14:textId="3D986BB3" w:rsidR="0049405C" w:rsidRPr="00187BAA" w:rsidRDefault="00672BE0" w:rsidP="00672BE0">
            <w:pPr>
              <w:spacing w:line="360" w:lineRule="auto"/>
              <w:rPr>
                <w:rFonts w:ascii="宋体" w:eastAsia="宋体" w:hAnsi="宋体"/>
                <w:b/>
                <w:bCs/>
                <w:color w:val="545551"/>
              </w:rPr>
            </w:pPr>
            <w:bookmarkStart w:id="2" w:name="didian"/>
            <w:r w:rsidRPr="00672BE0">
              <w:rPr>
                <w:rFonts w:ascii="宋体" w:eastAsia="宋体" w:hAnsi="Times New Roman" w:hint="eastAsia"/>
                <w:b/>
                <w:bCs/>
                <w:color w:val="000000"/>
              </w:rPr>
              <w:t>合伙人·上海</w:t>
            </w:r>
            <w:bookmarkEnd w:id="2"/>
          </w:p>
          <w:p w14:paraId="6199424A" w14:textId="1B68843A" w:rsidR="0049405C" w:rsidRPr="00187BAA" w:rsidRDefault="00672BE0" w:rsidP="00672BE0">
            <w:pPr>
              <w:spacing w:line="360" w:lineRule="auto"/>
              <w:rPr>
                <w:rFonts w:ascii="宋体" w:eastAsia="宋体" w:hAnsi="宋体"/>
                <w:color w:val="545551"/>
              </w:rPr>
            </w:pPr>
            <w:bookmarkStart w:id="3" w:name="dianhua"/>
            <w:r w:rsidRPr="00672BE0">
              <w:rPr>
                <w:rFonts w:ascii="宋体" w:eastAsia="宋体" w:hAnsi="Times New Roman"/>
                <w:color w:val="000000"/>
              </w:rPr>
              <w:t xml:space="preserve">+86 21 2208 1066 </w:t>
            </w:r>
            <w:bookmarkEnd w:id="3"/>
          </w:p>
          <w:p w14:paraId="4F910ACA" w14:textId="13A56284" w:rsidR="0049405C" w:rsidRPr="00187BAA" w:rsidRDefault="00672BE0" w:rsidP="00672BE0">
            <w:pPr>
              <w:spacing w:line="360" w:lineRule="auto"/>
              <w:rPr>
                <w:rFonts w:ascii="宋体" w:eastAsia="宋体" w:hAnsi="宋体"/>
                <w:color w:val="000000"/>
              </w:rPr>
            </w:pPr>
            <w:bookmarkStart w:id="4" w:name="youxiang"/>
            <w:r w:rsidRPr="00672BE0">
              <w:rPr>
                <w:rFonts w:ascii="宋体" w:eastAsia="宋体" w:hAnsi="Times New Roman"/>
                <w:color w:val="000000"/>
              </w:rPr>
              <w:t>zhiyi.ren@fangdalaw.com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A01D126" w:rsidR="0049405C" w:rsidRPr="00187BAA" w:rsidRDefault="00672BE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2C1610A" wp14:editId="29EE6FB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C0F7240" w:rsidR="009465FB" w:rsidRPr="00187BAA" w:rsidRDefault="00672BE0" w:rsidP="007177F3">
            <w:pPr>
              <w:rPr>
                <w:rFonts w:ascii="宋体" w:eastAsia="宋体" w:hAnsi="宋体"/>
                <w:color w:val="000000"/>
                <w:szCs w:val="21"/>
              </w:rPr>
            </w:pPr>
            <w:bookmarkStart w:id="6" w:name="zhiyelingyu"/>
            <w:r w:rsidRPr="00672BE0">
              <w:rPr>
                <w:rFonts w:ascii="宋体" w:eastAsia="宋体" w:hAnsi="Times New Roman" w:hint="eastAsia"/>
                <w:color w:val="000000"/>
                <w:szCs w:val="21"/>
              </w:rPr>
              <w:t>任律师是国内领先的金融合规律师，专注金融监管、金融市场、基金产品和金融领域的并购交易。任律师从</w:t>
            </w:r>
            <w:r w:rsidRPr="00672BE0">
              <w:rPr>
                <w:rFonts w:ascii="宋体" w:eastAsia="宋体" w:hAnsi="Times New Roman"/>
                <w:color w:val="000000"/>
                <w:szCs w:val="21"/>
              </w:rPr>
              <w:t>2003年开始为跨国金融/资管机构在中国的机构设立、产品发行、合规、监管调查和危机处理以及跨境交易等方面提供法律服务。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9119E1" w14:textId="77777777" w:rsidR="00672BE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5F36343" w14:textId="77777777" w:rsidR="00672BE0" w:rsidRDefault="00672BE0" w:rsidP="00672BE0">
      <w:pPr>
        <w:pStyle w:val="af5"/>
        <w:spacing w:after="0" w:line="480" w:lineRule="auto"/>
        <w:rPr>
          <w:rFonts w:ascii="宋体" w:eastAsia="宋体" w:hAnsi="宋体"/>
          <w:b/>
          <w:sz w:val="24"/>
        </w:rPr>
      </w:pPr>
      <w:r w:rsidRPr="00672BE0">
        <w:rPr>
          <w:rFonts w:ascii="宋体" w:eastAsia="宋体" w:hAnsi="宋体" w:hint="eastAsia"/>
          <w:b/>
          <w:sz w:val="24"/>
        </w:rPr>
        <w:t>近期代理的主要案件</w:t>
      </w:r>
    </w:p>
    <w:p w14:paraId="1D1F56EB" w14:textId="77777777" w:rsidR="00672BE0" w:rsidRDefault="00672BE0" w:rsidP="00672BE0">
      <w:pPr>
        <w:pStyle w:val="af5"/>
        <w:spacing w:before="120"/>
        <w:rPr>
          <w:rFonts w:ascii="宋体" w:eastAsia="宋体" w:hAnsi="Times New Roman"/>
          <w:color w:val="000000"/>
        </w:rPr>
      </w:pPr>
    </w:p>
    <w:p w14:paraId="4EF78AED" w14:textId="77777777" w:rsidR="00672BE0" w:rsidRDefault="00672BE0" w:rsidP="00672BE0">
      <w:pPr>
        <w:pStyle w:val="af5"/>
        <w:spacing w:before="120"/>
        <w:rPr>
          <w:rFonts w:ascii="宋体" w:eastAsia="宋体" w:hAnsi="Times New Roman"/>
          <w:color w:val="000000"/>
        </w:rPr>
      </w:pPr>
      <w:r>
        <w:rPr>
          <w:rFonts w:ascii="宋体" w:eastAsia="宋体" w:hAnsi="Times New Roman" w:hint="eastAsia"/>
          <w:color w:val="000000"/>
        </w:rPr>
        <w:t>自中国金融行业新一轮对外开放以来，任律师作为主办律师已成功协助多家境外金融/资管机构在中国设立了具有开创性的第一批外资控股金融机构并取得了相关业务牌照。在这一过程中，任律师同监管机构和客户一起摸索如何落实相关规则条文，使监管规则和内控要求得以合理可行的有效执行。其中包括：</w:t>
      </w:r>
    </w:p>
    <w:p w14:paraId="29D67B63" w14:textId="77777777" w:rsidR="00672BE0" w:rsidRDefault="00672BE0" w:rsidP="00672BE0">
      <w:pPr>
        <w:pStyle w:val="af5"/>
        <w:numPr>
          <w:ilvl w:val="0"/>
          <w:numId w:val="1"/>
        </w:numPr>
        <w:spacing w:before="120"/>
        <w:ind w:left="690" w:hanging="240"/>
        <w:rPr>
          <w:rFonts w:ascii="宋体" w:eastAsia="宋体" w:hAnsi="Times New Roman"/>
          <w:color w:val="000000"/>
        </w:rPr>
      </w:pPr>
      <w:r w:rsidRPr="00672BE0">
        <w:rPr>
          <w:rFonts w:ascii="宋体" w:eastAsia="宋体" w:hAnsi="Times New Roman" w:hint="eastAsia"/>
          <w:color w:val="000000"/>
        </w:rPr>
        <w:t>第一家外资独资券商和第一批外资控股券商</w:t>
      </w:r>
    </w:p>
    <w:p w14:paraId="58688ADA" w14:textId="77777777" w:rsidR="00672BE0" w:rsidRDefault="00672BE0" w:rsidP="00672BE0">
      <w:pPr>
        <w:pStyle w:val="af5"/>
        <w:numPr>
          <w:ilvl w:val="0"/>
          <w:numId w:val="2"/>
        </w:numPr>
        <w:spacing w:before="120"/>
        <w:ind w:left="690" w:hanging="240"/>
        <w:rPr>
          <w:rFonts w:ascii="宋体" w:eastAsia="宋体" w:hAnsi="Times New Roman"/>
          <w:color w:val="000000"/>
        </w:rPr>
      </w:pPr>
      <w:r w:rsidRPr="00672BE0">
        <w:rPr>
          <w:rFonts w:ascii="宋体" w:eastAsia="宋体" w:hAnsi="Times New Roman" w:hint="eastAsia"/>
          <w:color w:val="000000"/>
        </w:rPr>
        <w:t>第一家外商独资期货公司</w:t>
      </w:r>
    </w:p>
    <w:p w14:paraId="3FB48F34" w14:textId="77777777" w:rsidR="00672BE0" w:rsidRDefault="00672BE0" w:rsidP="00672BE0">
      <w:pPr>
        <w:pStyle w:val="af5"/>
        <w:numPr>
          <w:ilvl w:val="0"/>
          <w:numId w:val="3"/>
        </w:numPr>
        <w:spacing w:before="120"/>
        <w:ind w:left="690" w:hanging="240"/>
        <w:rPr>
          <w:rFonts w:ascii="宋体" w:eastAsia="宋体" w:hAnsi="Times New Roman"/>
          <w:color w:val="000000"/>
        </w:rPr>
      </w:pPr>
      <w:r w:rsidRPr="00672BE0">
        <w:rPr>
          <w:rFonts w:ascii="宋体" w:eastAsia="宋体" w:hAnsi="Times New Roman" w:hint="eastAsia"/>
          <w:color w:val="000000"/>
        </w:rPr>
        <w:t>第一家外资参股银行理财子公司</w:t>
      </w:r>
    </w:p>
    <w:p w14:paraId="2B13B51F" w14:textId="77777777" w:rsidR="00672BE0" w:rsidRDefault="00672BE0" w:rsidP="00672BE0">
      <w:pPr>
        <w:pStyle w:val="af5"/>
        <w:numPr>
          <w:ilvl w:val="0"/>
          <w:numId w:val="4"/>
        </w:numPr>
        <w:spacing w:before="120"/>
        <w:ind w:left="690" w:hanging="240"/>
        <w:rPr>
          <w:rFonts w:ascii="宋体" w:eastAsia="宋体" w:hAnsi="Times New Roman"/>
          <w:color w:val="000000"/>
        </w:rPr>
      </w:pPr>
      <w:r w:rsidRPr="00672BE0">
        <w:rPr>
          <w:rFonts w:ascii="宋体" w:eastAsia="宋体" w:hAnsi="Times New Roman" w:hint="eastAsia"/>
          <w:color w:val="000000"/>
        </w:rPr>
        <w:t>第一家通过公开挂牌获得外资多数股权的公募基金公司</w:t>
      </w:r>
    </w:p>
    <w:p w14:paraId="54390F6E" w14:textId="77777777" w:rsidR="00672BE0" w:rsidRDefault="00672BE0" w:rsidP="00672BE0">
      <w:pPr>
        <w:pStyle w:val="af5"/>
        <w:numPr>
          <w:ilvl w:val="0"/>
          <w:numId w:val="5"/>
        </w:numPr>
        <w:spacing w:before="120"/>
        <w:ind w:left="690" w:hanging="240"/>
        <w:rPr>
          <w:rFonts w:ascii="宋体" w:eastAsia="宋体" w:hAnsi="Times New Roman"/>
          <w:color w:val="000000"/>
        </w:rPr>
      </w:pPr>
      <w:r w:rsidRPr="00672BE0">
        <w:rPr>
          <w:rFonts w:ascii="宋体" w:eastAsia="宋体" w:hAnsi="Times New Roman" w:hint="eastAsia"/>
          <w:color w:val="000000"/>
        </w:rPr>
        <w:t>第一家外资相对控股的公募基金公司</w:t>
      </w:r>
    </w:p>
    <w:p w14:paraId="1BA54455" w14:textId="77777777" w:rsidR="00672BE0" w:rsidRDefault="00672BE0" w:rsidP="00672BE0">
      <w:pPr>
        <w:pStyle w:val="af5"/>
        <w:numPr>
          <w:ilvl w:val="0"/>
          <w:numId w:val="6"/>
        </w:numPr>
        <w:spacing w:before="120"/>
        <w:ind w:left="690" w:hanging="240"/>
        <w:rPr>
          <w:rFonts w:ascii="宋体" w:eastAsia="宋体" w:hAnsi="Times New Roman"/>
          <w:color w:val="000000"/>
        </w:rPr>
      </w:pPr>
      <w:r w:rsidRPr="00672BE0">
        <w:rPr>
          <w:rFonts w:ascii="宋体" w:eastAsia="宋体" w:hAnsi="Times New Roman" w:hint="eastAsia"/>
          <w:color w:val="000000"/>
        </w:rPr>
        <w:t>第一家服务于财富管理业务的外资保险公司金融科技子公司</w:t>
      </w:r>
    </w:p>
    <w:p w14:paraId="64AF662C" w14:textId="77777777" w:rsidR="00672BE0" w:rsidRDefault="00672BE0" w:rsidP="00672BE0">
      <w:pPr>
        <w:pStyle w:val="af5"/>
        <w:numPr>
          <w:ilvl w:val="0"/>
          <w:numId w:val="7"/>
        </w:numPr>
        <w:spacing w:before="120"/>
        <w:ind w:left="690" w:hanging="240"/>
        <w:rPr>
          <w:rFonts w:ascii="宋体" w:eastAsia="宋体" w:hAnsi="Times New Roman"/>
          <w:color w:val="000000"/>
        </w:rPr>
      </w:pPr>
      <w:r w:rsidRPr="00672BE0">
        <w:rPr>
          <w:rFonts w:ascii="宋体" w:eastAsia="宋体" w:hAnsi="Times New Roman" w:hint="eastAsia"/>
          <w:color w:val="000000"/>
        </w:rPr>
        <w:t>第一家获得基金销售业务牌照的外资银行子公司</w:t>
      </w:r>
    </w:p>
    <w:p w14:paraId="051DA134" w14:textId="77777777" w:rsidR="00672BE0" w:rsidRDefault="00672BE0" w:rsidP="00672BE0">
      <w:pPr>
        <w:pStyle w:val="af5"/>
        <w:numPr>
          <w:ilvl w:val="0"/>
          <w:numId w:val="8"/>
        </w:numPr>
        <w:spacing w:before="120"/>
        <w:ind w:left="690" w:hanging="240"/>
        <w:rPr>
          <w:rFonts w:ascii="宋体" w:eastAsia="宋体" w:hAnsi="Times New Roman"/>
          <w:color w:val="000000"/>
        </w:rPr>
      </w:pPr>
      <w:r w:rsidRPr="00672BE0">
        <w:rPr>
          <w:rFonts w:ascii="宋体" w:eastAsia="宋体" w:hAnsi="Times New Roman" w:hint="eastAsia"/>
          <w:color w:val="000000"/>
        </w:rPr>
        <w:t>第一批获得基金投顾牌照的公司</w:t>
      </w:r>
    </w:p>
    <w:p w14:paraId="67CE2A0F" w14:textId="77777777" w:rsidR="00672BE0" w:rsidRDefault="00672BE0" w:rsidP="00672BE0">
      <w:pPr>
        <w:pStyle w:val="af5"/>
        <w:numPr>
          <w:ilvl w:val="0"/>
          <w:numId w:val="9"/>
        </w:numPr>
        <w:spacing w:before="120"/>
        <w:ind w:left="690" w:hanging="240"/>
        <w:rPr>
          <w:rFonts w:ascii="宋体" w:eastAsia="宋体" w:hAnsi="Times New Roman"/>
          <w:color w:val="000000"/>
        </w:rPr>
      </w:pPr>
      <w:r w:rsidRPr="00672BE0">
        <w:rPr>
          <w:rFonts w:ascii="宋体" w:eastAsia="宋体" w:hAnsi="Times New Roman" w:hint="eastAsia"/>
          <w:color w:val="000000"/>
        </w:rPr>
        <w:t>第一批外资独资不良资产处置公司</w:t>
      </w:r>
    </w:p>
    <w:p w14:paraId="4AD4CB01" w14:textId="77777777" w:rsidR="00672BE0" w:rsidRDefault="00672BE0" w:rsidP="00672BE0">
      <w:pPr>
        <w:pStyle w:val="af5"/>
        <w:numPr>
          <w:ilvl w:val="0"/>
          <w:numId w:val="10"/>
        </w:numPr>
        <w:spacing w:before="120"/>
        <w:ind w:left="690" w:hanging="240"/>
        <w:rPr>
          <w:rFonts w:ascii="宋体" w:eastAsia="宋体" w:hAnsi="Times New Roman"/>
          <w:color w:val="000000"/>
        </w:rPr>
      </w:pPr>
      <w:r w:rsidRPr="00672BE0">
        <w:rPr>
          <w:rFonts w:ascii="宋体" w:eastAsia="宋体" w:hAnsi="Times New Roman" w:hint="eastAsia"/>
          <w:color w:val="000000"/>
        </w:rPr>
        <w:t>第一家外资资管机构与银行理财子公司的战略合作</w:t>
      </w:r>
    </w:p>
    <w:p w14:paraId="742FEA70" w14:textId="77777777" w:rsidR="00672BE0" w:rsidRDefault="00672BE0" w:rsidP="00672BE0">
      <w:pPr>
        <w:pStyle w:val="af5"/>
        <w:numPr>
          <w:ilvl w:val="0"/>
          <w:numId w:val="11"/>
        </w:numPr>
        <w:spacing w:before="120"/>
        <w:ind w:left="690" w:hanging="240"/>
        <w:rPr>
          <w:rFonts w:ascii="宋体" w:eastAsia="宋体" w:hAnsi="Times New Roman"/>
          <w:color w:val="000000"/>
        </w:rPr>
      </w:pPr>
      <w:r w:rsidRPr="00672BE0">
        <w:rPr>
          <w:rFonts w:ascii="宋体" w:eastAsia="宋体" w:hAnsi="Times New Roman" w:hint="eastAsia"/>
          <w:color w:val="000000"/>
        </w:rPr>
        <w:t>第一家获得人民银行批准在中国境内筹建银行卡人民币清算机构的外资公司</w:t>
      </w:r>
    </w:p>
    <w:p w14:paraId="6E7C737C" w14:textId="77777777" w:rsidR="00672BE0" w:rsidRDefault="00672BE0" w:rsidP="00672BE0">
      <w:pPr>
        <w:pStyle w:val="af5"/>
        <w:numPr>
          <w:ilvl w:val="0"/>
          <w:numId w:val="12"/>
        </w:numPr>
        <w:spacing w:before="120"/>
        <w:ind w:left="690" w:hanging="240"/>
        <w:rPr>
          <w:rFonts w:ascii="宋体" w:eastAsia="宋体" w:hAnsi="Times New Roman"/>
          <w:color w:val="000000"/>
        </w:rPr>
      </w:pPr>
      <w:r w:rsidRPr="00672BE0">
        <w:rPr>
          <w:rFonts w:ascii="宋体" w:eastAsia="宋体" w:hAnsi="Times New Roman"/>
          <w:color w:val="000000"/>
        </w:rPr>
        <w:t>2020年QFII新规以来的第一批QFII批准</w:t>
      </w:r>
    </w:p>
    <w:p w14:paraId="2B5F5E59" w14:textId="77777777" w:rsidR="00672BE0" w:rsidRDefault="00672BE0" w:rsidP="00672BE0">
      <w:pPr>
        <w:pStyle w:val="af5"/>
        <w:numPr>
          <w:ilvl w:val="0"/>
          <w:numId w:val="13"/>
        </w:numPr>
        <w:spacing w:before="120"/>
        <w:ind w:left="690" w:hanging="240"/>
        <w:rPr>
          <w:rFonts w:ascii="宋体" w:eastAsia="宋体" w:hAnsi="Times New Roman"/>
          <w:color w:val="000000"/>
        </w:rPr>
      </w:pPr>
      <w:r w:rsidRPr="00672BE0">
        <w:rPr>
          <w:rFonts w:ascii="宋体" w:eastAsia="宋体" w:hAnsi="Times New Roman" w:hint="eastAsia"/>
          <w:color w:val="000000"/>
        </w:rPr>
        <w:t>第一家风险债权的</w:t>
      </w:r>
      <w:r w:rsidRPr="00672BE0">
        <w:rPr>
          <w:rFonts w:ascii="宋体" w:eastAsia="宋体" w:hAnsi="Times New Roman"/>
          <w:color w:val="000000"/>
        </w:rPr>
        <w:t>QFLP资格</w:t>
      </w:r>
    </w:p>
    <w:p w14:paraId="2D3E7B02" w14:textId="77777777" w:rsidR="00672BE0" w:rsidRDefault="00672BE0" w:rsidP="00672BE0">
      <w:pPr>
        <w:pStyle w:val="af5"/>
        <w:numPr>
          <w:ilvl w:val="0"/>
          <w:numId w:val="14"/>
        </w:numPr>
        <w:spacing w:before="120"/>
        <w:ind w:left="690" w:hanging="240"/>
        <w:rPr>
          <w:rFonts w:ascii="宋体" w:eastAsia="宋体" w:hAnsi="Times New Roman"/>
          <w:color w:val="000000"/>
        </w:rPr>
      </w:pPr>
      <w:r w:rsidRPr="00672BE0">
        <w:rPr>
          <w:rFonts w:ascii="宋体" w:eastAsia="宋体" w:hAnsi="Times New Roman" w:hint="eastAsia"/>
          <w:color w:val="000000"/>
        </w:rPr>
        <w:t>第一批外资独资私募基金在中国证券投资基金业协会的备案</w:t>
      </w:r>
    </w:p>
    <w:p w14:paraId="57698511" w14:textId="77777777" w:rsidR="00672BE0" w:rsidRDefault="00672BE0" w:rsidP="00672BE0">
      <w:pPr>
        <w:pStyle w:val="af5"/>
        <w:numPr>
          <w:ilvl w:val="0"/>
          <w:numId w:val="15"/>
        </w:numPr>
        <w:spacing w:before="120"/>
        <w:ind w:left="690" w:hanging="240"/>
        <w:rPr>
          <w:rFonts w:ascii="宋体" w:eastAsia="宋体" w:hAnsi="Times New Roman"/>
          <w:color w:val="000000"/>
        </w:rPr>
      </w:pPr>
      <w:r w:rsidRPr="00672BE0">
        <w:rPr>
          <w:rFonts w:ascii="宋体" w:eastAsia="宋体" w:hAnsi="Times New Roman" w:hint="eastAsia"/>
          <w:color w:val="000000"/>
        </w:rPr>
        <w:t>第一批汽车制造商全资控股的保险经纪公司</w:t>
      </w:r>
    </w:p>
    <w:p w14:paraId="2BD456A8" w14:textId="77777777" w:rsidR="00672BE0" w:rsidRDefault="00672BE0" w:rsidP="00672BE0">
      <w:pPr>
        <w:pStyle w:val="af5"/>
        <w:numPr>
          <w:ilvl w:val="0"/>
          <w:numId w:val="16"/>
        </w:numPr>
        <w:spacing w:before="120"/>
        <w:ind w:left="690" w:hanging="240"/>
        <w:rPr>
          <w:rFonts w:ascii="宋体" w:eastAsia="宋体" w:hAnsi="Times New Roman"/>
          <w:color w:val="000000"/>
        </w:rPr>
      </w:pPr>
      <w:r w:rsidRPr="00672BE0">
        <w:rPr>
          <w:rFonts w:ascii="宋体" w:eastAsia="宋体" w:hAnsi="Times New Roman" w:hint="eastAsia"/>
          <w:color w:val="000000"/>
        </w:rPr>
        <w:t>第一家外资独资</w:t>
      </w:r>
      <w:r w:rsidRPr="00672BE0">
        <w:rPr>
          <w:rFonts w:ascii="宋体" w:eastAsia="宋体" w:hAnsi="Times New Roman"/>
          <w:color w:val="000000"/>
        </w:rPr>
        <w:t>ESG评级公司</w:t>
      </w:r>
    </w:p>
    <w:p w14:paraId="1648585E" w14:textId="77777777" w:rsidR="00672BE0" w:rsidRDefault="00672BE0" w:rsidP="00672BE0">
      <w:pPr>
        <w:pStyle w:val="af5"/>
        <w:numPr>
          <w:ilvl w:val="0"/>
          <w:numId w:val="17"/>
        </w:numPr>
        <w:spacing w:before="120"/>
        <w:ind w:left="690" w:hanging="240"/>
        <w:rPr>
          <w:rFonts w:ascii="宋体" w:eastAsia="宋体" w:hAnsi="Times New Roman"/>
          <w:color w:val="000000"/>
        </w:rPr>
      </w:pPr>
      <w:r w:rsidRPr="00672BE0">
        <w:rPr>
          <w:rFonts w:ascii="宋体" w:eastAsia="宋体" w:hAnsi="Times New Roman" w:hint="eastAsia"/>
          <w:color w:val="000000"/>
        </w:rPr>
        <w:t>此外，任律师还就中国相关部分成功帮助了一家美国顶尖资产管理机构对一家亚洲领先私募基金管理人的</w:t>
      </w:r>
      <w:r w:rsidRPr="00672BE0">
        <w:rPr>
          <w:rFonts w:ascii="宋体" w:eastAsia="宋体" w:hAnsi="Times New Roman"/>
          <w:color w:val="000000"/>
        </w:rPr>
        <w:t>GP少数投资，以及一家英国顶级资产管理集团与一家一流保险集团的合并交易，均为跨境基金/资管机构并购领域的代表性交易。</w:t>
      </w:r>
    </w:p>
    <w:p w14:paraId="29E4E7E2" w14:textId="77777777" w:rsidR="00672BE0" w:rsidRDefault="00672BE0" w:rsidP="00672BE0">
      <w:pPr>
        <w:pStyle w:val="af5"/>
        <w:spacing w:before="120"/>
        <w:rPr>
          <w:rFonts w:ascii="宋体" w:eastAsia="宋体" w:hAnsi="Times New Roman"/>
          <w:color w:val="000000"/>
        </w:rPr>
      </w:pPr>
      <w:r>
        <w:rPr>
          <w:rFonts w:ascii="宋体" w:eastAsia="宋体" w:hAnsi="Times New Roman" w:hint="eastAsia"/>
          <w:color w:val="000000"/>
        </w:rPr>
        <w:t>在新的监管环境和业务环境下，任律师带领团队为多家境内外金融/资管机构就产品发行与销售、内部制度、数据保护、反洗钱和持续合规等问题提供法律服务。其中包括：</w:t>
      </w:r>
    </w:p>
    <w:p w14:paraId="53CAD85F" w14:textId="77777777" w:rsidR="00672BE0" w:rsidRDefault="00672BE0" w:rsidP="00672BE0">
      <w:pPr>
        <w:pStyle w:val="af5"/>
        <w:numPr>
          <w:ilvl w:val="0"/>
          <w:numId w:val="18"/>
        </w:numPr>
        <w:spacing w:before="120"/>
        <w:ind w:left="690" w:hanging="240"/>
        <w:rPr>
          <w:rFonts w:ascii="宋体" w:eastAsia="宋体" w:hAnsi="Times New Roman"/>
          <w:color w:val="000000"/>
        </w:rPr>
      </w:pPr>
      <w:r w:rsidRPr="00672BE0">
        <w:rPr>
          <w:rFonts w:ascii="宋体" w:eastAsia="宋体" w:hAnsi="Times New Roman" w:hint="eastAsia"/>
          <w:color w:val="000000"/>
        </w:rPr>
        <w:t>帮助客户发行了外资独资私募基金的第一批多资产基金产品</w:t>
      </w:r>
    </w:p>
    <w:p w14:paraId="475E6D1A" w14:textId="77777777" w:rsidR="00672BE0" w:rsidRDefault="00672BE0" w:rsidP="00672BE0">
      <w:pPr>
        <w:pStyle w:val="af5"/>
        <w:numPr>
          <w:ilvl w:val="0"/>
          <w:numId w:val="19"/>
        </w:numPr>
        <w:spacing w:before="120"/>
        <w:ind w:left="690" w:hanging="240"/>
        <w:rPr>
          <w:rFonts w:ascii="宋体" w:eastAsia="宋体" w:hAnsi="Times New Roman"/>
          <w:color w:val="000000"/>
        </w:rPr>
      </w:pPr>
      <w:r w:rsidRPr="00672BE0">
        <w:rPr>
          <w:rFonts w:ascii="宋体" w:eastAsia="宋体" w:hAnsi="Times New Roman" w:hint="eastAsia"/>
          <w:color w:val="000000"/>
        </w:rPr>
        <w:t>帮助客户进行了第一批外资券商代销跨境</w:t>
      </w:r>
      <w:r w:rsidRPr="00672BE0">
        <w:rPr>
          <w:rFonts w:ascii="宋体" w:eastAsia="宋体" w:hAnsi="Times New Roman"/>
          <w:color w:val="000000"/>
        </w:rPr>
        <w:t>QDLP产品</w:t>
      </w:r>
    </w:p>
    <w:p w14:paraId="181B4AAB" w14:textId="77777777" w:rsidR="00672BE0" w:rsidRDefault="00672BE0" w:rsidP="00672BE0">
      <w:pPr>
        <w:pStyle w:val="af5"/>
        <w:numPr>
          <w:ilvl w:val="0"/>
          <w:numId w:val="20"/>
        </w:numPr>
        <w:spacing w:before="120"/>
        <w:ind w:left="690" w:hanging="240"/>
        <w:rPr>
          <w:rFonts w:ascii="宋体" w:eastAsia="宋体" w:hAnsi="Times New Roman"/>
          <w:color w:val="000000"/>
        </w:rPr>
      </w:pPr>
      <w:r w:rsidRPr="00672BE0">
        <w:rPr>
          <w:rFonts w:ascii="宋体" w:eastAsia="宋体" w:hAnsi="Times New Roman" w:hint="eastAsia"/>
          <w:color w:val="000000"/>
        </w:rPr>
        <w:t>帮助第一家中外合资理财公司发行第一只理财产品</w:t>
      </w:r>
    </w:p>
    <w:p w14:paraId="6CD49309" w14:textId="77777777" w:rsidR="00672BE0" w:rsidRDefault="00672BE0" w:rsidP="00672BE0">
      <w:pPr>
        <w:pStyle w:val="af5"/>
        <w:numPr>
          <w:ilvl w:val="0"/>
          <w:numId w:val="21"/>
        </w:numPr>
        <w:spacing w:before="120"/>
        <w:ind w:left="690" w:hanging="240"/>
        <w:rPr>
          <w:rFonts w:ascii="宋体" w:eastAsia="宋体" w:hAnsi="Times New Roman"/>
          <w:color w:val="000000"/>
        </w:rPr>
      </w:pPr>
      <w:r w:rsidRPr="00672BE0">
        <w:rPr>
          <w:rFonts w:ascii="宋体" w:eastAsia="宋体" w:hAnsi="Times New Roman" w:hint="eastAsia"/>
          <w:color w:val="000000"/>
        </w:rPr>
        <w:t>帮助一家外资银行获得证券投资基金托管资格</w:t>
      </w:r>
    </w:p>
    <w:p w14:paraId="56933FB4" w14:textId="77777777" w:rsidR="00672BE0" w:rsidRDefault="00672BE0" w:rsidP="00672BE0">
      <w:pPr>
        <w:pStyle w:val="af5"/>
        <w:numPr>
          <w:ilvl w:val="0"/>
          <w:numId w:val="22"/>
        </w:numPr>
        <w:spacing w:before="120"/>
        <w:ind w:left="690" w:hanging="240"/>
        <w:rPr>
          <w:rFonts w:ascii="宋体" w:eastAsia="宋体" w:hAnsi="Times New Roman"/>
          <w:color w:val="000000"/>
        </w:rPr>
      </w:pPr>
      <w:r w:rsidRPr="00672BE0">
        <w:rPr>
          <w:rFonts w:ascii="宋体" w:eastAsia="宋体" w:hAnsi="Times New Roman" w:hint="eastAsia"/>
          <w:color w:val="000000"/>
        </w:rPr>
        <w:t>帮助多家</w:t>
      </w:r>
      <w:r w:rsidRPr="00672BE0">
        <w:rPr>
          <w:rFonts w:ascii="宋体" w:eastAsia="宋体" w:hAnsi="Times New Roman"/>
          <w:color w:val="000000"/>
        </w:rPr>
        <w:t>QFI协商与托管人和券商的服务协议</w:t>
      </w:r>
    </w:p>
    <w:p w14:paraId="2CFD72A8" w14:textId="77777777" w:rsidR="00672BE0" w:rsidRDefault="00672BE0" w:rsidP="00672BE0">
      <w:pPr>
        <w:pStyle w:val="af5"/>
        <w:numPr>
          <w:ilvl w:val="0"/>
          <w:numId w:val="23"/>
        </w:numPr>
        <w:spacing w:before="120"/>
        <w:ind w:left="690" w:hanging="240"/>
        <w:rPr>
          <w:rFonts w:ascii="宋体" w:eastAsia="宋体" w:hAnsi="Times New Roman"/>
          <w:color w:val="000000"/>
        </w:rPr>
      </w:pPr>
      <w:r w:rsidRPr="00672BE0">
        <w:rPr>
          <w:rFonts w:ascii="宋体" w:eastAsia="宋体" w:hAnsi="Times New Roman" w:hint="eastAsia"/>
          <w:color w:val="000000"/>
        </w:rPr>
        <w:t>代表客户完成了第一批跨境不良资产收购项目（涉及资产包和单体资产）的境外融资</w:t>
      </w:r>
    </w:p>
    <w:p w14:paraId="4ABD428E" w14:textId="77777777" w:rsidR="00672BE0" w:rsidRDefault="00672BE0" w:rsidP="00672BE0">
      <w:pPr>
        <w:pStyle w:val="af5"/>
        <w:numPr>
          <w:ilvl w:val="0"/>
          <w:numId w:val="24"/>
        </w:numPr>
        <w:spacing w:before="120"/>
        <w:ind w:left="690" w:hanging="240"/>
        <w:rPr>
          <w:rFonts w:ascii="宋体" w:eastAsia="宋体" w:hAnsi="Times New Roman"/>
          <w:color w:val="000000"/>
        </w:rPr>
      </w:pPr>
      <w:r w:rsidRPr="00672BE0">
        <w:rPr>
          <w:rFonts w:ascii="宋体" w:eastAsia="宋体" w:hAnsi="Times New Roman" w:hint="eastAsia"/>
          <w:color w:val="000000"/>
        </w:rPr>
        <w:t>帮助客户分析了跨境数据传输、个人信息保护和系统搭建及外包在金融基础设施、银行、券商、期货、基金及金融服务机构下的不同要求，开展数据核查并设计信息技术整体合规方案</w:t>
      </w:r>
    </w:p>
    <w:p w14:paraId="338172FE" w14:textId="77777777" w:rsidR="00672BE0" w:rsidRDefault="00672BE0" w:rsidP="00672BE0">
      <w:pPr>
        <w:pStyle w:val="af5"/>
        <w:numPr>
          <w:ilvl w:val="0"/>
          <w:numId w:val="25"/>
        </w:numPr>
        <w:spacing w:before="120"/>
        <w:ind w:left="690" w:hanging="240"/>
        <w:rPr>
          <w:rFonts w:ascii="宋体" w:eastAsia="宋体" w:hAnsi="Times New Roman"/>
          <w:color w:val="000000"/>
        </w:rPr>
      </w:pPr>
      <w:r w:rsidRPr="00672BE0">
        <w:rPr>
          <w:rFonts w:ascii="宋体" w:eastAsia="宋体" w:hAnsi="Times New Roman" w:hint="eastAsia"/>
          <w:color w:val="000000"/>
        </w:rPr>
        <w:t>帮助客户制备新设机构的投行、交易、研究和资管业务政策、流程和标准文件。</w:t>
      </w:r>
    </w:p>
    <w:p w14:paraId="5C0BABB8" w14:textId="77777777" w:rsidR="00672BE0" w:rsidRDefault="00672BE0" w:rsidP="00672BE0">
      <w:pPr>
        <w:pStyle w:val="af5"/>
        <w:spacing w:before="120"/>
        <w:rPr>
          <w:rFonts w:ascii="宋体" w:eastAsia="宋体" w:hAnsi="Times New Roman"/>
          <w:color w:val="000000"/>
        </w:rPr>
      </w:pPr>
      <w:r>
        <w:rPr>
          <w:rFonts w:ascii="宋体" w:eastAsia="宋体" w:hAnsi="Times New Roman" w:hint="eastAsia"/>
          <w:color w:val="000000"/>
        </w:rPr>
        <w:t>在近年来资管行业争议频发的背景下，任律师带领团队已经帮助多家境内外机构进行内部调查、配合监管调查、处理危机和解决争议。比如，</w:t>
      </w:r>
    </w:p>
    <w:p w14:paraId="5D51A394" w14:textId="77777777" w:rsidR="00672BE0" w:rsidRDefault="00672BE0" w:rsidP="00672BE0">
      <w:pPr>
        <w:pStyle w:val="af5"/>
        <w:numPr>
          <w:ilvl w:val="0"/>
          <w:numId w:val="26"/>
        </w:numPr>
        <w:spacing w:before="120"/>
        <w:ind w:left="690" w:hanging="240"/>
        <w:rPr>
          <w:rFonts w:ascii="宋体" w:eastAsia="宋体" w:hAnsi="Times New Roman"/>
          <w:color w:val="000000"/>
        </w:rPr>
      </w:pPr>
      <w:r w:rsidRPr="00672BE0">
        <w:rPr>
          <w:rFonts w:ascii="宋体" w:eastAsia="宋体" w:hAnsi="Times New Roman" w:hint="eastAsia"/>
          <w:color w:val="000000"/>
        </w:rPr>
        <w:t>就私募基金产品违约、私募基金管理人失联、产品未兑付后众多投资者维权引发的法律争议，向作为私募基金托管人的证券公司提供应对建议</w:t>
      </w:r>
    </w:p>
    <w:p w14:paraId="4129346C" w14:textId="77777777" w:rsidR="00672BE0" w:rsidRDefault="00672BE0" w:rsidP="00672BE0">
      <w:pPr>
        <w:pStyle w:val="af5"/>
        <w:numPr>
          <w:ilvl w:val="0"/>
          <w:numId w:val="27"/>
        </w:numPr>
        <w:spacing w:before="120"/>
        <w:ind w:left="690" w:hanging="240"/>
        <w:rPr>
          <w:rFonts w:ascii="宋体" w:eastAsia="宋体" w:hAnsi="Times New Roman"/>
          <w:color w:val="000000"/>
        </w:rPr>
      </w:pPr>
      <w:r w:rsidRPr="00672BE0">
        <w:rPr>
          <w:rFonts w:ascii="宋体" w:eastAsia="宋体" w:hAnsi="Times New Roman" w:hint="eastAsia"/>
          <w:color w:val="000000"/>
        </w:rPr>
        <w:t>就沪港通下因客户交易引起的跨境监管调查，为交易商提供帮助</w:t>
      </w:r>
    </w:p>
    <w:p w14:paraId="1929C116" w14:textId="77777777" w:rsidR="00672BE0" w:rsidRDefault="00672BE0" w:rsidP="00672BE0">
      <w:pPr>
        <w:pStyle w:val="af5"/>
        <w:numPr>
          <w:ilvl w:val="0"/>
          <w:numId w:val="28"/>
        </w:numPr>
        <w:spacing w:before="120"/>
        <w:ind w:left="690" w:hanging="240"/>
        <w:rPr>
          <w:rFonts w:ascii="宋体" w:eastAsia="宋体" w:hAnsi="Times New Roman"/>
          <w:color w:val="000000"/>
        </w:rPr>
      </w:pPr>
      <w:r w:rsidRPr="00672BE0">
        <w:rPr>
          <w:rFonts w:ascii="宋体" w:eastAsia="宋体" w:hAnsi="Times New Roman" w:hint="eastAsia"/>
          <w:color w:val="000000"/>
        </w:rPr>
        <w:t>就基金子公司业务运营进行内部核查，为公募基金母公司改进该基金子公司的内控提供协助</w:t>
      </w:r>
    </w:p>
    <w:p w14:paraId="1CE6179F" w14:textId="77777777" w:rsidR="00672BE0" w:rsidRDefault="00672BE0" w:rsidP="00672BE0">
      <w:pPr>
        <w:pStyle w:val="af5"/>
        <w:spacing w:before="120"/>
        <w:rPr>
          <w:rFonts w:ascii="宋体" w:eastAsia="宋体" w:hAnsi="Times New Roman"/>
          <w:color w:val="000000"/>
        </w:rPr>
      </w:pPr>
      <w:r>
        <w:rPr>
          <w:rFonts w:ascii="宋体" w:eastAsia="宋体" w:hAnsi="Times New Roman" w:hint="eastAsia"/>
          <w:color w:val="000000"/>
        </w:rPr>
        <w:t>其他的代表性交易</w:t>
      </w:r>
    </w:p>
    <w:p w14:paraId="44800825" w14:textId="77777777" w:rsidR="00672BE0" w:rsidRDefault="00672BE0" w:rsidP="00672BE0">
      <w:pPr>
        <w:pStyle w:val="af5"/>
        <w:numPr>
          <w:ilvl w:val="0"/>
          <w:numId w:val="29"/>
        </w:numPr>
        <w:spacing w:before="120"/>
        <w:ind w:left="690" w:hanging="240"/>
        <w:rPr>
          <w:rFonts w:ascii="宋体" w:eastAsia="宋体" w:hAnsi="Times New Roman"/>
          <w:color w:val="000000"/>
        </w:rPr>
      </w:pPr>
      <w:r w:rsidRPr="00672BE0">
        <w:rPr>
          <w:rFonts w:ascii="宋体" w:eastAsia="宋体" w:hAnsi="Times New Roman" w:hint="eastAsia"/>
          <w:color w:val="000000"/>
        </w:rPr>
        <w:t>代表一家著名国际投资银行通过与一家新成立的国内证券公司成立合资公司以在中国运营投资银行业务（新设成立全服务机构的创新架构安排）</w:t>
      </w:r>
    </w:p>
    <w:p w14:paraId="372BFCFA" w14:textId="77777777" w:rsidR="00672BE0" w:rsidRDefault="00672BE0" w:rsidP="00672BE0">
      <w:pPr>
        <w:pStyle w:val="af5"/>
        <w:numPr>
          <w:ilvl w:val="0"/>
          <w:numId w:val="30"/>
        </w:numPr>
        <w:spacing w:before="120"/>
        <w:ind w:left="690" w:hanging="240"/>
        <w:rPr>
          <w:rFonts w:ascii="宋体" w:eastAsia="宋体" w:hAnsi="Times New Roman"/>
          <w:color w:val="000000"/>
        </w:rPr>
      </w:pPr>
      <w:r w:rsidRPr="00672BE0">
        <w:rPr>
          <w:rFonts w:ascii="宋体" w:eastAsia="宋体" w:hAnsi="Times New Roman" w:hint="eastAsia"/>
          <w:color w:val="000000"/>
        </w:rPr>
        <w:t>代表摩根大通就其与第一创业证券成立合资证券公司提供法律服务</w:t>
      </w:r>
    </w:p>
    <w:p w14:paraId="75B4B3F0" w14:textId="77777777" w:rsidR="00672BE0" w:rsidRDefault="00672BE0" w:rsidP="00672BE0">
      <w:pPr>
        <w:pStyle w:val="af5"/>
        <w:numPr>
          <w:ilvl w:val="0"/>
          <w:numId w:val="31"/>
        </w:numPr>
        <w:spacing w:before="120"/>
        <w:ind w:left="690" w:hanging="240"/>
        <w:rPr>
          <w:rFonts w:ascii="宋体" w:eastAsia="宋体" w:hAnsi="Times New Roman"/>
          <w:color w:val="000000"/>
        </w:rPr>
      </w:pPr>
      <w:r w:rsidRPr="00672BE0">
        <w:rPr>
          <w:rFonts w:ascii="宋体" w:eastAsia="宋体" w:hAnsi="Times New Roman" w:hint="eastAsia"/>
          <w:color w:val="000000"/>
        </w:rPr>
        <w:t>代表苏格兰皇家银行就其与国联证券股份有限公司成立合资证券公司提供法律服务</w:t>
      </w:r>
    </w:p>
    <w:p w14:paraId="2CFAAD7A" w14:textId="77777777" w:rsidR="00672BE0" w:rsidRDefault="00672BE0" w:rsidP="00672BE0">
      <w:pPr>
        <w:pStyle w:val="af5"/>
        <w:numPr>
          <w:ilvl w:val="0"/>
          <w:numId w:val="32"/>
        </w:numPr>
        <w:spacing w:before="120"/>
        <w:ind w:left="690" w:hanging="240"/>
        <w:rPr>
          <w:rFonts w:ascii="宋体" w:eastAsia="宋体" w:hAnsi="Times New Roman"/>
          <w:color w:val="000000"/>
        </w:rPr>
      </w:pPr>
      <w:r w:rsidRPr="00672BE0">
        <w:rPr>
          <w:rFonts w:ascii="宋体" w:eastAsia="宋体" w:hAnsi="Times New Roman" w:hint="eastAsia"/>
          <w:color w:val="000000"/>
        </w:rPr>
        <w:t>代表摩根士丹利就其与华鑫证券成立合资证券公司提供法律服务</w:t>
      </w:r>
    </w:p>
    <w:p w14:paraId="5932C902" w14:textId="77777777" w:rsidR="00672BE0" w:rsidRDefault="00672BE0" w:rsidP="00672BE0">
      <w:pPr>
        <w:pStyle w:val="af5"/>
        <w:numPr>
          <w:ilvl w:val="0"/>
          <w:numId w:val="33"/>
        </w:numPr>
        <w:spacing w:before="120"/>
        <w:ind w:left="690" w:hanging="240"/>
        <w:rPr>
          <w:rFonts w:ascii="宋体" w:eastAsia="宋体" w:hAnsi="Times New Roman"/>
          <w:color w:val="000000"/>
        </w:rPr>
      </w:pPr>
      <w:r w:rsidRPr="00672BE0">
        <w:rPr>
          <w:rFonts w:ascii="宋体" w:eastAsia="宋体" w:hAnsi="Times New Roman" w:hint="eastAsia"/>
          <w:color w:val="000000"/>
        </w:rPr>
        <w:t>代表里昂证券就其与财富证券通过合资证券公司进行研究和机构经纪业务合作提供法律服务</w:t>
      </w:r>
    </w:p>
    <w:p w14:paraId="378AF638" w14:textId="77777777" w:rsidR="00672BE0" w:rsidRDefault="00672BE0" w:rsidP="00672BE0">
      <w:pPr>
        <w:pStyle w:val="af5"/>
        <w:numPr>
          <w:ilvl w:val="0"/>
          <w:numId w:val="34"/>
        </w:numPr>
        <w:spacing w:before="120"/>
        <w:ind w:left="690" w:hanging="240"/>
        <w:rPr>
          <w:rFonts w:ascii="宋体" w:eastAsia="宋体" w:hAnsi="Times New Roman"/>
          <w:color w:val="000000"/>
        </w:rPr>
      </w:pPr>
      <w:r w:rsidRPr="00672BE0">
        <w:rPr>
          <w:rFonts w:ascii="宋体" w:eastAsia="宋体" w:hAnsi="Times New Roman" w:hint="eastAsia"/>
          <w:color w:val="000000"/>
        </w:rPr>
        <w:t>代表摩根大通就其收购中山期货经纪有限公司</w:t>
      </w:r>
      <w:r w:rsidRPr="00672BE0">
        <w:rPr>
          <w:rFonts w:ascii="宋体" w:eastAsia="宋体" w:hAnsi="Times New Roman"/>
          <w:color w:val="000000"/>
        </w:rPr>
        <w:t>49%的股权提供法律服务</w:t>
      </w:r>
    </w:p>
    <w:p w14:paraId="46E25BE9" w14:textId="77777777" w:rsidR="00672BE0" w:rsidRDefault="00672BE0" w:rsidP="00672BE0">
      <w:pPr>
        <w:pStyle w:val="af5"/>
        <w:numPr>
          <w:ilvl w:val="0"/>
          <w:numId w:val="35"/>
        </w:numPr>
        <w:spacing w:before="120"/>
        <w:ind w:left="690" w:hanging="240"/>
        <w:rPr>
          <w:rFonts w:ascii="宋体" w:eastAsia="宋体" w:hAnsi="Times New Roman"/>
          <w:color w:val="000000"/>
        </w:rPr>
      </w:pPr>
      <w:r w:rsidRPr="00672BE0">
        <w:rPr>
          <w:rFonts w:ascii="宋体" w:eastAsia="宋体" w:hAnsi="Times New Roman" w:hint="eastAsia"/>
          <w:color w:val="000000"/>
        </w:rPr>
        <w:t>代表一家著名的国内投资银行收购一家中国期货经纪公司</w:t>
      </w:r>
      <w:r w:rsidRPr="00672BE0">
        <w:rPr>
          <w:rFonts w:ascii="宋体" w:eastAsia="宋体" w:hAnsi="Times New Roman"/>
          <w:color w:val="000000"/>
        </w:rPr>
        <w:t>100%的股份</w:t>
      </w:r>
    </w:p>
    <w:p w14:paraId="6E3068E9" w14:textId="77777777" w:rsidR="00672BE0" w:rsidRDefault="00672BE0" w:rsidP="00672BE0">
      <w:pPr>
        <w:pStyle w:val="af5"/>
        <w:numPr>
          <w:ilvl w:val="0"/>
          <w:numId w:val="36"/>
        </w:numPr>
        <w:spacing w:before="120"/>
        <w:ind w:left="690" w:hanging="240"/>
        <w:rPr>
          <w:rFonts w:ascii="宋体" w:eastAsia="宋体" w:hAnsi="Times New Roman"/>
          <w:color w:val="000000"/>
        </w:rPr>
      </w:pPr>
      <w:r w:rsidRPr="00672BE0">
        <w:rPr>
          <w:rFonts w:ascii="宋体" w:eastAsia="宋体" w:hAnsi="Times New Roman" w:hint="eastAsia"/>
          <w:color w:val="000000"/>
        </w:rPr>
        <w:t>代表瑞银集团就其投资上海普民期货经纪有限公司提供法律服务</w:t>
      </w:r>
    </w:p>
    <w:p w14:paraId="072E927A" w14:textId="77777777" w:rsidR="00672BE0" w:rsidRDefault="00672BE0" w:rsidP="00672BE0">
      <w:pPr>
        <w:pStyle w:val="af5"/>
        <w:numPr>
          <w:ilvl w:val="0"/>
          <w:numId w:val="37"/>
        </w:numPr>
        <w:spacing w:before="120"/>
        <w:ind w:left="690" w:hanging="240"/>
        <w:rPr>
          <w:rFonts w:ascii="宋体" w:eastAsia="宋体" w:hAnsi="Times New Roman"/>
          <w:color w:val="000000"/>
        </w:rPr>
      </w:pPr>
      <w:r w:rsidRPr="00672BE0">
        <w:rPr>
          <w:rFonts w:ascii="宋体" w:eastAsia="宋体" w:hAnsi="Times New Roman" w:hint="eastAsia"/>
          <w:color w:val="000000"/>
        </w:rPr>
        <w:t>代表摩根大通就其投资百瑞信托有限责任公司提供法律服务</w:t>
      </w:r>
    </w:p>
    <w:p w14:paraId="2DE2BB30" w14:textId="77777777" w:rsidR="00672BE0" w:rsidRDefault="00672BE0" w:rsidP="00672BE0">
      <w:pPr>
        <w:pStyle w:val="af5"/>
        <w:numPr>
          <w:ilvl w:val="0"/>
          <w:numId w:val="38"/>
        </w:numPr>
        <w:spacing w:before="120"/>
        <w:ind w:left="690" w:hanging="240"/>
        <w:rPr>
          <w:rFonts w:ascii="宋体" w:eastAsia="宋体" w:hAnsi="Times New Roman"/>
          <w:color w:val="000000"/>
        </w:rPr>
      </w:pPr>
      <w:r w:rsidRPr="00672BE0">
        <w:rPr>
          <w:rFonts w:ascii="宋体" w:eastAsia="宋体" w:hAnsi="Times New Roman" w:hint="eastAsia"/>
          <w:color w:val="000000"/>
        </w:rPr>
        <w:t>代表苏格兰皇家银行就其收购苏州信托有限公司</w:t>
      </w:r>
      <w:r w:rsidRPr="00672BE0">
        <w:rPr>
          <w:rFonts w:ascii="宋体" w:eastAsia="宋体" w:hAnsi="Times New Roman"/>
          <w:color w:val="000000"/>
        </w:rPr>
        <w:t>19.99%的股权提供法律服务</w:t>
      </w:r>
    </w:p>
    <w:p w14:paraId="5AF269BF" w14:textId="77777777" w:rsidR="00672BE0" w:rsidRDefault="00672BE0" w:rsidP="00672BE0">
      <w:pPr>
        <w:pStyle w:val="af5"/>
        <w:numPr>
          <w:ilvl w:val="0"/>
          <w:numId w:val="39"/>
        </w:numPr>
        <w:spacing w:before="120"/>
        <w:ind w:left="690" w:hanging="240"/>
        <w:rPr>
          <w:rFonts w:ascii="宋体" w:eastAsia="宋体" w:hAnsi="Times New Roman"/>
          <w:color w:val="000000"/>
        </w:rPr>
      </w:pPr>
      <w:r w:rsidRPr="00672BE0">
        <w:rPr>
          <w:rFonts w:ascii="宋体" w:eastAsia="宋体" w:hAnsi="Times New Roman" w:hint="eastAsia"/>
          <w:color w:val="000000"/>
        </w:rPr>
        <w:t>代表法国兴业银行就其拟收购</w:t>
      </w:r>
      <w:r w:rsidRPr="00672BE0">
        <w:rPr>
          <w:rFonts w:ascii="宋体" w:eastAsia="宋体" w:hAnsi="Times New Roman"/>
          <w:color w:val="000000"/>
        </w:rPr>
        <w:t>Fortune Trust 提供法律服务</w:t>
      </w:r>
    </w:p>
    <w:p w14:paraId="7CE61FEC" w14:textId="77777777" w:rsidR="00672BE0" w:rsidRDefault="00672BE0" w:rsidP="00672BE0">
      <w:pPr>
        <w:pStyle w:val="af5"/>
        <w:numPr>
          <w:ilvl w:val="0"/>
          <w:numId w:val="40"/>
        </w:numPr>
        <w:spacing w:before="120"/>
        <w:ind w:left="690" w:hanging="240"/>
        <w:rPr>
          <w:rFonts w:ascii="宋体" w:eastAsia="宋体" w:hAnsi="Times New Roman"/>
          <w:color w:val="000000"/>
        </w:rPr>
      </w:pPr>
      <w:r w:rsidRPr="00672BE0">
        <w:rPr>
          <w:rFonts w:ascii="宋体" w:eastAsia="宋体" w:hAnsi="Times New Roman" w:hint="eastAsia"/>
          <w:color w:val="000000"/>
        </w:rPr>
        <w:t>代表摩根大通就其与中国邮政储蓄银行开展信用卡合作提供法律服务</w:t>
      </w:r>
    </w:p>
    <w:p w14:paraId="2513E9AC" w14:textId="77777777" w:rsidR="00672BE0" w:rsidRDefault="00672BE0" w:rsidP="00672BE0">
      <w:pPr>
        <w:pStyle w:val="af5"/>
        <w:numPr>
          <w:ilvl w:val="0"/>
          <w:numId w:val="41"/>
        </w:numPr>
        <w:spacing w:before="120"/>
        <w:ind w:left="690" w:hanging="240"/>
        <w:rPr>
          <w:rFonts w:ascii="宋体" w:eastAsia="宋体" w:hAnsi="Times New Roman"/>
          <w:color w:val="000000"/>
        </w:rPr>
      </w:pPr>
      <w:r w:rsidRPr="00672BE0">
        <w:rPr>
          <w:rFonts w:ascii="宋体" w:eastAsia="宋体" w:hAnsi="Times New Roman" w:hint="eastAsia"/>
          <w:color w:val="000000"/>
        </w:rPr>
        <w:t>代表美林银行就其拟投资一家本地注册的外资银行提供法律服务</w:t>
      </w:r>
    </w:p>
    <w:p w14:paraId="41FCA715" w14:textId="77777777" w:rsidR="00672BE0" w:rsidRDefault="00672BE0" w:rsidP="00672BE0">
      <w:pPr>
        <w:pStyle w:val="af5"/>
        <w:numPr>
          <w:ilvl w:val="0"/>
          <w:numId w:val="42"/>
        </w:numPr>
        <w:spacing w:before="120"/>
        <w:ind w:left="690" w:hanging="240"/>
        <w:rPr>
          <w:rFonts w:ascii="宋体" w:eastAsia="宋体" w:hAnsi="Times New Roman"/>
          <w:color w:val="000000"/>
        </w:rPr>
      </w:pPr>
      <w:r w:rsidRPr="00672BE0">
        <w:rPr>
          <w:rFonts w:ascii="宋体" w:eastAsia="宋体" w:hAnsi="Times New Roman" w:hint="eastAsia"/>
          <w:color w:val="000000"/>
        </w:rPr>
        <w:t>代表花旗银行就其收购广发银行</w:t>
      </w:r>
      <w:r w:rsidRPr="00672BE0">
        <w:rPr>
          <w:rFonts w:ascii="宋体" w:eastAsia="宋体" w:hAnsi="Times New Roman"/>
          <w:color w:val="000000"/>
        </w:rPr>
        <w:t>19.99%的股权提供法律服务</w:t>
      </w:r>
    </w:p>
    <w:p w14:paraId="21996BD1" w14:textId="77777777" w:rsidR="00672BE0" w:rsidRDefault="00672BE0" w:rsidP="00672BE0">
      <w:pPr>
        <w:pStyle w:val="af5"/>
        <w:numPr>
          <w:ilvl w:val="0"/>
          <w:numId w:val="43"/>
        </w:numPr>
        <w:spacing w:before="120"/>
        <w:ind w:left="690" w:hanging="240"/>
        <w:rPr>
          <w:rFonts w:ascii="宋体" w:eastAsia="宋体" w:hAnsi="Times New Roman"/>
          <w:color w:val="000000"/>
        </w:rPr>
      </w:pPr>
      <w:r w:rsidRPr="00672BE0">
        <w:rPr>
          <w:rFonts w:ascii="宋体" w:eastAsia="宋体" w:hAnsi="Times New Roman" w:hint="eastAsia"/>
          <w:color w:val="000000"/>
        </w:rPr>
        <w:t>代表法国农业信贷银行就其投资成立农银汇理基金管理公司提供法律服务</w:t>
      </w:r>
    </w:p>
    <w:p w14:paraId="0B992AEF" w14:textId="77777777" w:rsidR="00672BE0" w:rsidRDefault="00672BE0" w:rsidP="00672BE0">
      <w:pPr>
        <w:pStyle w:val="af5"/>
        <w:numPr>
          <w:ilvl w:val="0"/>
          <w:numId w:val="44"/>
        </w:numPr>
        <w:spacing w:before="120"/>
        <w:ind w:left="690" w:hanging="240"/>
        <w:rPr>
          <w:rFonts w:ascii="宋体" w:eastAsia="宋体" w:hAnsi="Times New Roman"/>
          <w:color w:val="000000"/>
        </w:rPr>
      </w:pPr>
      <w:r w:rsidRPr="00672BE0">
        <w:rPr>
          <w:rFonts w:ascii="宋体" w:eastAsia="宋体" w:hAnsi="Times New Roman" w:hint="eastAsia"/>
          <w:color w:val="000000"/>
        </w:rPr>
        <w:t>代表瑞银集团就其投资成立国投瑞银基金管理有限公司提供法律服务</w:t>
      </w:r>
    </w:p>
    <w:p w14:paraId="08C8E4BA" w14:textId="77777777" w:rsidR="00672BE0" w:rsidRDefault="00672BE0" w:rsidP="00672BE0">
      <w:pPr>
        <w:pStyle w:val="af5"/>
        <w:numPr>
          <w:ilvl w:val="0"/>
          <w:numId w:val="45"/>
        </w:numPr>
        <w:spacing w:before="120"/>
        <w:ind w:left="690" w:hanging="240"/>
        <w:rPr>
          <w:rFonts w:ascii="宋体" w:eastAsia="宋体" w:hAnsi="Times New Roman"/>
          <w:color w:val="000000"/>
        </w:rPr>
      </w:pPr>
      <w:r w:rsidRPr="00672BE0">
        <w:rPr>
          <w:rFonts w:ascii="宋体" w:eastAsia="宋体" w:hAnsi="Times New Roman" w:hint="eastAsia"/>
          <w:color w:val="000000"/>
        </w:rPr>
        <w:t>代表</w:t>
      </w:r>
      <w:r w:rsidRPr="00672BE0">
        <w:rPr>
          <w:rFonts w:ascii="宋体" w:eastAsia="宋体" w:hAnsi="Times New Roman"/>
          <w:color w:val="000000"/>
        </w:rPr>
        <w:t>SGAM 就其增资其在中国的合资基金管理公司提供法律服务</w:t>
      </w:r>
    </w:p>
    <w:p w14:paraId="59AE7978" w14:textId="77777777" w:rsidR="00672BE0" w:rsidRDefault="00672BE0" w:rsidP="00672BE0">
      <w:pPr>
        <w:pStyle w:val="af5"/>
        <w:numPr>
          <w:ilvl w:val="0"/>
          <w:numId w:val="46"/>
        </w:numPr>
        <w:spacing w:before="120"/>
        <w:ind w:left="690" w:hanging="240"/>
        <w:rPr>
          <w:rFonts w:ascii="宋体" w:eastAsia="宋体" w:hAnsi="Times New Roman"/>
          <w:color w:val="000000"/>
        </w:rPr>
      </w:pPr>
      <w:r w:rsidRPr="00672BE0">
        <w:rPr>
          <w:rFonts w:ascii="宋体" w:eastAsia="宋体" w:hAnsi="Times New Roman" w:hint="eastAsia"/>
          <w:color w:val="000000"/>
        </w:rPr>
        <w:t>代表比利时联合银行就其在中国的合资基金管理公司的运营提供法律服务</w:t>
      </w:r>
    </w:p>
    <w:p w14:paraId="0E59D97D" w14:textId="77777777" w:rsidR="00672BE0" w:rsidRDefault="00672BE0" w:rsidP="00672BE0">
      <w:pPr>
        <w:pStyle w:val="af5"/>
        <w:numPr>
          <w:ilvl w:val="0"/>
          <w:numId w:val="47"/>
        </w:numPr>
        <w:spacing w:before="120"/>
        <w:ind w:left="690" w:hanging="240"/>
        <w:rPr>
          <w:rFonts w:ascii="宋体" w:eastAsia="宋体" w:hAnsi="Times New Roman"/>
          <w:color w:val="000000"/>
        </w:rPr>
      </w:pPr>
      <w:r w:rsidRPr="00672BE0">
        <w:rPr>
          <w:rFonts w:ascii="宋体" w:eastAsia="宋体" w:hAnsi="Times New Roman" w:hint="eastAsia"/>
          <w:color w:val="000000"/>
        </w:rPr>
        <w:t>代表摩根士丹利就其在中国建立大宗商品交易平台提供法律服务</w:t>
      </w:r>
    </w:p>
    <w:p w14:paraId="6542C844" w14:textId="77777777" w:rsidR="00672BE0" w:rsidRDefault="00672BE0" w:rsidP="00672BE0">
      <w:pPr>
        <w:pStyle w:val="af5"/>
        <w:numPr>
          <w:ilvl w:val="0"/>
          <w:numId w:val="48"/>
        </w:numPr>
        <w:spacing w:before="120"/>
        <w:ind w:left="690" w:hanging="240"/>
        <w:rPr>
          <w:rFonts w:ascii="宋体" w:eastAsia="宋体" w:hAnsi="Times New Roman"/>
          <w:color w:val="000000"/>
        </w:rPr>
      </w:pPr>
      <w:r w:rsidRPr="00672BE0">
        <w:rPr>
          <w:rFonts w:ascii="宋体" w:eastAsia="宋体" w:hAnsi="Times New Roman" w:hint="eastAsia"/>
          <w:color w:val="000000"/>
        </w:rPr>
        <w:t>代表德意志银行就其在中国建立大宗商品交易平台及运营提供法律服务</w:t>
      </w:r>
    </w:p>
    <w:p w14:paraId="3D9F07A3" w14:textId="77777777" w:rsidR="00672BE0" w:rsidRDefault="00672BE0" w:rsidP="00672BE0">
      <w:pPr>
        <w:pStyle w:val="af5"/>
        <w:numPr>
          <w:ilvl w:val="0"/>
          <w:numId w:val="49"/>
        </w:numPr>
        <w:spacing w:before="120"/>
        <w:ind w:left="690" w:hanging="240"/>
        <w:rPr>
          <w:rFonts w:ascii="宋体" w:eastAsia="宋体" w:hAnsi="Times New Roman"/>
          <w:color w:val="000000"/>
        </w:rPr>
      </w:pPr>
      <w:r w:rsidRPr="00672BE0">
        <w:rPr>
          <w:rFonts w:ascii="宋体" w:eastAsia="宋体" w:hAnsi="Times New Roman" w:hint="eastAsia"/>
          <w:color w:val="000000"/>
        </w:rPr>
        <w:t>代表一家著名国际投资银行就其在中国建立大宗商品交易平台提供法律服务</w:t>
      </w:r>
    </w:p>
    <w:p w14:paraId="11C5F424" w14:textId="77777777" w:rsidR="00672BE0" w:rsidRDefault="00672BE0" w:rsidP="00672BE0">
      <w:pPr>
        <w:pStyle w:val="af5"/>
        <w:numPr>
          <w:ilvl w:val="0"/>
          <w:numId w:val="50"/>
        </w:numPr>
        <w:spacing w:before="120"/>
        <w:ind w:left="690" w:hanging="240"/>
        <w:rPr>
          <w:rFonts w:ascii="宋体" w:eastAsia="宋体" w:hAnsi="Times New Roman"/>
          <w:color w:val="000000"/>
        </w:rPr>
      </w:pPr>
      <w:r w:rsidRPr="00672BE0">
        <w:rPr>
          <w:rFonts w:ascii="宋体" w:eastAsia="宋体" w:hAnsi="Times New Roman" w:hint="eastAsia"/>
          <w:color w:val="000000"/>
        </w:rPr>
        <w:t>代表</w:t>
      </w:r>
      <w:r w:rsidRPr="00672BE0">
        <w:rPr>
          <w:rFonts w:ascii="宋体" w:eastAsia="宋体" w:hAnsi="Times New Roman"/>
          <w:color w:val="000000"/>
        </w:rPr>
        <w:t>Citadel就其与中信创投成立合资公司及合资公司期货交易提供法律服务</w:t>
      </w:r>
    </w:p>
    <w:p w14:paraId="3A23F629" w14:textId="77777777" w:rsidR="00672BE0" w:rsidRDefault="00672BE0" w:rsidP="00672BE0">
      <w:pPr>
        <w:pStyle w:val="af5"/>
        <w:numPr>
          <w:ilvl w:val="0"/>
          <w:numId w:val="51"/>
        </w:numPr>
        <w:spacing w:before="120"/>
        <w:ind w:left="690" w:hanging="240"/>
        <w:rPr>
          <w:rFonts w:ascii="宋体" w:eastAsia="宋体" w:hAnsi="Times New Roman"/>
          <w:color w:val="000000"/>
        </w:rPr>
      </w:pPr>
      <w:r w:rsidRPr="00672BE0">
        <w:rPr>
          <w:rFonts w:ascii="宋体" w:eastAsia="宋体" w:hAnsi="Times New Roman" w:hint="eastAsia"/>
          <w:color w:val="000000"/>
        </w:rPr>
        <w:t>代表</w:t>
      </w:r>
      <w:r w:rsidRPr="00672BE0">
        <w:rPr>
          <w:rFonts w:ascii="宋体" w:eastAsia="宋体" w:hAnsi="Times New Roman"/>
          <w:color w:val="000000"/>
        </w:rPr>
        <w:t>UPS为其计划通过QFII投资一家中国上市公司提供服务</w:t>
      </w:r>
    </w:p>
    <w:p w14:paraId="7BFCABF9" w14:textId="77777777" w:rsidR="00672BE0" w:rsidRDefault="00672BE0" w:rsidP="00672BE0">
      <w:pPr>
        <w:pStyle w:val="af5"/>
        <w:numPr>
          <w:ilvl w:val="0"/>
          <w:numId w:val="52"/>
        </w:numPr>
        <w:spacing w:before="120"/>
        <w:ind w:left="690" w:hanging="240"/>
        <w:rPr>
          <w:rFonts w:ascii="宋体" w:eastAsia="宋体" w:hAnsi="Times New Roman"/>
          <w:color w:val="000000"/>
        </w:rPr>
      </w:pPr>
      <w:r w:rsidRPr="00672BE0">
        <w:rPr>
          <w:rFonts w:ascii="宋体" w:eastAsia="宋体" w:hAnsi="Times New Roman" w:hint="eastAsia"/>
          <w:color w:val="000000"/>
        </w:rPr>
        <w:t>代表</w:t>
      </w:r>
      <w:r w:rsidRPr="00672BE0">
        <w:rPr>
          <w:rFonts w:ascii="宋体" w:eastAsia="宋体" w:hAnsi="Times New Roman"/>
          <w:color w:val="000000"/>
        </w:rPr>
        <w:t>KKR为其RQFII托管协议和其他合规事务提供服务</w:t>
      </w:r>
    </w:p>
    <w:p w14:paraId="05AF3F5C" w14:textId="77777777" w:rsidR="00672BE0" w:rsidRDefault="00672BE0" w:rsidP="00672BE0">
      <w:pPr>
        <w:pStyle w:val="af5"/>
        <w:numPr>
          <w:ilvl w:val="0"/>
          <w:numId w:val="53"/>
        </w:numPr>
        <w:spacing w:before="120"/>
        <w:ind w:left="690" w:hanging="240"/>
        <w:rPr>
          <w:rFonts w:ascii="宋体" w:eastAsia="宋体" w:hAnsi="Times New Roman"/>
          <w:color w:val="000000"/>
        </w:rPr>
      </w:pPr>
      <w:r w:rsidRPr="00672BE0">
        <w:rPr>
          <w:rFonts w:ascii="宋体" w:eastAsia="宋体" w:hAnsi="Times New Roman" w:hint="eastAsia"/>
          <w:color w:val="000000"/>
        </w:rPr>
        <w:t>代表</w:t>
      </w:r>
      <w:r w:rsidRPr="00672BE0">
        <w:rPr>
          <w:rFonts w:ascii="宋体" w:eastAsia="宋体" w:hAnsi="Times New Roman"/>
          <w:color w:val="000000"/>
        </w:rPr>
        <w:t>Bank of Nova Scotia和SGAM为其QFII申请提供服务</w:t>
      </w:r>
    </w:p>
    <w:p w14:paraId="02762B7A" w14:textId="77777777" w:rsidR="00672BE0" w:rsidRDefault="00672BE0" w:rsidP="00672BE0">
      <w:pPr>
        <w:pStyle w:val="af5"/>
        <w:numPr>
          <w:ilvl w:val="0"/>
          <w:numId w:val="54"/>
        </w:numPr>
        <w:spacing w:before="120"/>
        <w:ind w:left="690" w:hanging="240"/>
        <w:rPr>
          <w:rFonts w:ascii="宋体" w:eastAsia="宋体" w:hAnsi="Times New Roman"/>
          <w:color w:val="000000"/>
        </w:rPr>
      </w:pPr>
      <w:r w:rsidRPr="00672BE0">
        <w:rPr>
          <w:rFonts w:ascii="宋体" w:eastAsia="宋体" w:hAnsi="Times New Roman" w:hint="eastAsia"/>
          <w:color w:val="000000"/>
        </w:rPr>
        <w:t>代表</w:t>
      </w:r>
      <w:r w:rsidRPr="00672BE0">
        <w:rPr>
          <w:rFonts w:ascii="宋体" w:eastAsia="宋体" w:hAnsi="Times New Roman"/>
          <w:color w:val="000000"/>
        </w:rPr>
        <w:t>UBS为其变更本地经纪商和准备QFII合规手册提供服务</w:t>
      </w:r>
    </w:p>
    <w:p w14:paraId="64298F48" w14:textId="77777777" w:rsidR="00672BE0" w:rsidRDefault="00672BE0" w:rsidP="00672BE0">
      <w:pPr>
        <w:pStyle w:val="af5"/>
        <w:numPr>
          <w:ilvl w:val="0"/>
          <w:numId w:val="55"/>
        </w:numPr>
        <w:spacing w:before="120"/>
        <w:ind w:left="690" w:hanging="240"/>
        <w:rPr>
          <w:rFonts w:ascii="宋体" w:eastAsia="宋体" w:hAnsi="Times New Roman"/>
          <w:color w:val="000000"/>
        </w:rPr>
      </w:pPr>
      <w:r w:rsidRPr="00672BE0">
        <w:rPr>
          <w:rFonts w:ascii="宋体" w:eastAsia="宋体" w:hAnsi="Times New Roman" w:hint="eastAsia"/>
          <w:color w:val="000000"/>
        </w:rPr>
        <w:t>代表</w:t>
      </w:r>
      <w:r w:rsidRPr="00672BE0">
        <w:rPr>
          <w:rFonts w:ascii="宋体" w:eastAsia="宋体" w:hAnsi="Times New Roman"/>
          <w:color w:val="000000"/>
        </w:rPr>
        <w:t>Cascade</w:t>
      </w:r>
      <w:r w:rsidRPr="00672BE0">
        <w:rPr>
          <w:rFonts w:ascii="宋体" w:eastAsia="宋体" w:hAnsi="Times New Roman"/>
          <w:color w:val="000000"/>
        </w:rPr>
        <w:t> </w:t>
      </w:r>
      <w:r w:rsidRPr="00672BE0">
        <w:rPr>
          <w:rFonts w:ascii="宋体" w:eastAsia="宋体" w:hAnsi="Times New Roman"/>
          <w:color w:val="000000"/>
        </w:rPr>
        <w:t xml:space="preserve"> LLC为其QFII托管协议和经纪协议提供服务</w:t>
      </w:r>
    </w:p>
    <w:p w14:paraId="66637EDA" w14:textId="77777777" w:rsidR="00672BE0" w:rsidRDefault="00672BE0" w:rsidP="00672BE0">
      <w:pPr>
        <w:pStyle w:val="af5"/>
        <w:numPr>
          <w:ilvl w:val="0"/>
          <w:numId w:val="56"/>
        </w:numPr>
        <w:spacing w:before="120"/>
        <w:ind w:left="690" w:hanging="240"/>
        <w:rPr>
          <w:rFonts w:ascii="宋体" w:eastAsia="宋体" w:hAnsi="Times New Roman"/>
          <w:color w:val="000000"/>
        </w:rPr>
      </w:pPr>
      <w:r w:rsidRPr="00672BE0">
        <w:rPr>
          <w:rFonts w:ascii="宋体" w:eastAsia="宋体" w:hAnsi="Times New Roman" w:hint="eastAsia"/>
          <w:color w:val="000000"/>
        </w:rPr>
        <w:t>代表</w:t>
      </w:r>
      <w:r w:rsidRPr="00672BE0">
        <w:rPr>
          <w:rFonts w:ascii="宋体" w:eastAsia="宋体" w:hAnsi="Times New Roman"/>
          <w:color w:val="000000"/>
        </w:rPr>
        <w:t>BMGI为其QFII交易提供服务</w:t>
      </w:r>
    </w:p>
    <w:p w14:paraId="7EB12E13" w14:textId="77777777" w:rsidR="00672BE0" w:rsidRDefault="00672BE0" w:rsidP="00672BE0">
      <w:pPr>
        <w:pStyle w:val="af5"/>
        <w:numPr>
          <w:ilvl w:val="0"/>
          <w:numId w:val="57"/>
        </w:numPr>
        <w:spacing w:before="120"/>
        <w:ind w:left="690" w:hanging="240"/>
        <w:rPr>
          <w:rFonts w:ascii="宋体" w:eastAsia="宋体" w:hAnsi="Times New Roman"/>
          <w:color w:val="000000"/>
        </w:rPr>
      </w:pPr>
      <w:r w:rsidRPr="00672BE0">
        <w:rPr>
          <w:rFonts w:ascii="宋体" w:eastAsia="宋体" w:hAnsi="Times New Roman" w:hint="eastAsia"/>
          <w:color w:val="000000"/>
        </w:rPr>
        <w:t>代表多家跨国银行为其境内券商的银行间债券市场协议提供服务</w:t>
      </w:r>
    </w:p>
    <w:p w14:paraId="008A079B" w14:textId="77777777" w:rsidR="00672BE0" w:rsidRDefault="00672BE0" w:rsidP="00672BE0">
      <w:pPr>
        <w:pStyle w:val="af5"/>
        <w:numPr>
          <w:ilvl w:val="0"/>
          <w:numId w:val="58"/>
        </w:numPr>
        <w:spacing w:before="120"/>
        <w:ind w:left="690" w:hanging="240"/>
        <w:rPr>
          <w:rFonts w:ascii="宋体" w:eastAsia="宋体" w:hAnsi="Times New Roman"/>
          <w:color w:val="000000"/>
        </w:rPr>
      </w:pPr>
      <w:r w:rsidRPr="00672BE0">
        <w:rPr>
          <w:rFonts w:ascii="宋体" w:eastAsia="宋体" w:hAnsi="Times New Roman" w:hint="eastAsia"/>
          <w:color w:val="000000"/>
        </w:rPr>
        <w:t>代表</w:t>
      </w:r>
      <w:r w:rsidRPr="00672BE0">
        <w:rPr>
          <w:rFonts w:ascii="宋体" w:eastAsia="宋体" w:hAnsi="Times New Roman"/>
          <w:color w:val="000000"/>
        </w:rPr>
        <w:t>BMGI为其加入银行间债券市场和相关合规事项提供服务</w:t>
      </w:r>
    </w:p>
    <w:p w14:paraId="53527784" w14:textId="77777777" w:rsidR="00672BE0" w:rsidRDefault="00672BE0" w:rsidP="00672BE0">
      <w:pPr>
        <w:pStyle w:val="af5"/>
        <w:numPr>
          <w:ilvl w:val="0"/>
          <w:numId w:val="59"/>
        </w:numPr>
        <w:spacing w:before="120"/>
        <w:ind w:left="690" w:hanging="240"/>
        <w:rPr>
          <w:rFonts w:ascii="宋体" w:eastAsia="宋体" w:hAnsi="Times New Roman"/>
          <w:color w:val="000000"/>
        </w:rPr>
      </w:pPr>
      <w:r w:rsidRPr="00672BE0">
        <w:rPr>
          <w:rFonts w:ascii="宋体" w:eastAsia="宋体" w:hAnsi="Times New Roman" w:hint="eastAsia"/>
          <w:color w:val="000000"/>
        </w:rPr>
        <w:t>代表安永就其在大连设立全球服务中心提供法律服务</w:t>
      </w:r>
    </w:p>
    <w:p w14:paraId="75A92E10" w14:textId="77777777" w:rsidR="00672BE0" w:rsidRDefault="00672BE0" w:rsidP="00672BE0">
      <w:pPr>
        <w:pStyle w:val="af5"/>
        <w:numPr>
          <w:ilvl w:val="0"/>
          <w:numId w:val="60"/>
        </w:numPr>
        <w:spacing w:before="120"/>
        <w:ind w:left="690" w:hanging="240"/>
        <w:rPr>
          <w:rFonts w:ascii="宋体" w:eastAsia="宋体" w:hAnsi="Times New Roman"/>
          <w:color w:val="000000"/>
        </w:rPr>
      </w:pPr>
      <w:r w:rsidRPr="00672BE0">
        <w:rPr>
          <w:rFonts w:ascii="宋体" w:eastAsia="宋体" w:hAnsi="Times New Roman" w:hint="eastAsia"/>
          <w:color w:val="000000"/>
        </w:rPr>
        <w:t>代表中信证券就其拟投资</w:t>
      </w:r>
      <w:r w:rsidRPr="00672BE0">
        <w:rPr>
          <w:rFonts w:ascii="宋体" w:eastAsia="宋体" w:hAnsi="Times New Roman"/>
          <w:color w:val="000000"/>
        </w:rPr>
        <w:t>Bear Stearns及与Bear Stearns 的合作提供法律服务</w:t>
      </w:r>
    </w:p>
    <w:p w14:paraId="2DF70ED9" w14:textId="77777777" w:rsidR="00672BE0" w:rsidRDefault="00672BE0" w:rsidP="00672BE0">
      <w:pPr>
        <w:pStyle w:val="af5"/>
        <w:numPr>
          <w:ilvl w:val="0"/>
          <w:numId w:val="61"/>
        </w:numPr>
        <w:spacing w:before="120"/>
        <w:ind w:left="690" w:hanging="240"/>
        <w:rPr>
          <w:rFonts w:ascii="宋体" w:eastAsia="宋体" w:hAnsi="Times New Roman"/>
          <w:color w:val="000000"/>
        </w:rPr>
      </w:pPr>
      <w:r w:rsidRPr="00672BE0">
        <w:rPr>
          <w:rFonts w:ascii="宋体" w:eastAsia="宋体" w:hAnsi="Times New Roman" w:hint="eastAsia"/>
          <w:color w:val="000000"/>
        </w:rPr>
        <w:t>代表雷曼兄弟的清算人就其处置雷曼兄弟的私募投资事项提供法律服务</w:t>
      </w:r>
    </w:p>
    <w:p w14:paraId="6A354CE8" w14:textId="77777777" w:rsidR="00672BE0" w:rsidRDefault="00672BE0" w:rsidP="00672BE0">
      <w:pPr>
        <w:pStyle w:val="af5"/>
        <w:numPr>
          <w:ilvl w:val="0"/>
          <w:numId w:val="62"/>
        </w:numPr>
        <w:spacing w:before="120"/>
        <w:ind w:left="690" w:hanging="240"/>
        <w:rPr>
          <w:rFonts w:ascii="宋体" w:eastAsia="宋体" w:hAnsi="Times New Roman"/>
          <w:color w:val="000000"/>
        </w:rPr>
      </w:pPr>
      <w:r w:rsidRPr="00672BE0">
        <w:rPr>
          <w:rFonts w:ascii="宋体" w:eastAsia="宋体" w:hAnsi="Times New Roman" w:hint="eastAsia"/>
          <w:color w:val="000000"/>
        </w:rPr>
        <w:t>代表摩根大通就其首次承销中国政府债券提供法律服务</w:t>
      </w:r>
    </w:p>
    <w:p w14:paraId="3B94BC0A" w14:textId="77777777" w:rsidR="00672BE0" w:rsidRDefault="00672BE0" w:rsidP="00672BE0">
      <w:pPr>
        <w:pStyle w:val="af5"/>
        <w:numPr>
          <w:ilvl w:val="0"/>
          <w:numId w:val="63"/>
        </w:numPr>
        <w:spacing w:before="120"/>
        <w:ind w:left="690" w:hanging="240"/>
        <w:rPr>
          <w:rFonts w:ascii="宋体" w:eastAsia="宋体" w:hAnsi="Times New Roman"/>
          <w:color w:val="000000"/>
        </w:rPr>
      </w:pPr>
      <w:r w:rsidRPr="00672BE0">
        <w:rPr>
          <w:rFonts w:ascii="宋体" w:eastAsia="宋体" w:hAnsi="Times New Roman" w:hint="eastAsia"/>
          <w:color w:val="000000"/>
        </w:rPr>
        <w:t>代表摩根大通就其在中国承销金融债券提供法律服务</w:t>
      </w:r>
    </w:p>
    <w:p w14:paraId="5F772744" w14:textId="77777777" w:rsidR="00672BE0" w:rsidRDefault="00672BE0" w:rsidP="00672BE0">
      <w:pPr>
        <w:pStyle w:val="af5"/>
        <w:numPr>
          <w:ilvl w:val="0"/>
          <w:numId w:val="64"/>
        </w:numPr>
        <w:spacing w:before="120"/>
        <w:ind w:left="690" w:hanging="240"/>
        <w:rPr>
          <w:rFonts w:ascii="宋体" w:eastAsia="宋体" w:hAnsi="Times New Roman"/>
          <w:color w:val="000000"/>
        </w:rPr>
      </w:pPr>
      <w:r w:rsidRPr="00672BE0">
        <w:rPr>
          <w:rFonts w:ascii="宋体" w:eastAsia="宋体" w:hAnsi="Times New Roman" w:hint="eastAsia"/>
          <w:color w:val="000000"/>
        </w:rPr>
        <w:t>代表西班牙对外银行就其标准中国银行账户文件事项提供法律服务</w:t>
      </w:r>
    </w:p>
    <w:p w14:paraId="58E6DB49" w14:textId="77777777" w:rsidR="00672BE0" w:rsidRDefault="00672BE0" w:rsidP="00672BE0">
      <w:pPr>
        <w:pStyle w:val="af5"/>
        <w:numPr>
          <w:ilvl w:val="0"/>
          <w:numId w:val="65"/>
        </w:numPr>
        <w:spacing w:before="120"/>
        <w:ind w:left="690" w:hanging="240"/>
        <w:rPr>
          <w:rFonts w:ascii="宋体" w:eastAsia="宋体" w:hAnsi="Times New Roman"/>
          <w:color w:val="000000"/>
        </w:rPr>
      </w:pPr>
      <w:r w:rsidRPr="00672BE0">
        <w:rPr>
          <w:rFonts w:ascii="宋体" w:eastAsia="宋体" w:hAnsi="Times New Roman" w:hint="eastAsia"/>
          <w:color w:val="000000"/>
        </w:rPr>
        <w:t>代表苏格兰皇家银行就其在中国转移零售业务合同和员工提供法律服务</w:t>
      </w:r>
    </w:p>
    <w:p w14:paraId="29896A91" w14:textId="77777777" w:rsidR="00672BE0" w:rsidRDefault="00672BE0" w:rsidP="00672BE0">
      <w:pPr>
        <w:pStyle w:val="af5"/>
        <w:numPr>
          <w:ilvl w:val="0"/>
          <w:numId w:val="66"/>
        </w:numPr>
        <w:spacing w:before="120"/>
        <w:ind w:left="690" w:hanging="240"/>
        <w:rPr>
          <w:rFonts w:ascii="宋体" w:eastAsia="宋体" w:hAnsi="Times New Roman"/>
          <w:color w:val="000000"/>
        </w:rPr>
      </w:pPr>
      <w:r w:rsidRPr="00672BE0">
        <w:rPr>
          <w:rFonts w:ascii="宋体" w:eastAsia="宋体" w:hAnsi="Times New Roman" w:hint="eastAsia"/>
          <w:color w:val="000000"/>
        </w:rPr>
        <w:t>代表蒙特利尔银行就其在中国的咨询业务提供法律服务</w:t>
      </w:r>
    </w:p>
    <w:p w14:paraId="0CAF7706" w14:textId="77777777" w:rsidR="00672BE0" w:rsidRDefault="00672BE0" w:rsidP="00672BE0">
      <w:pPr>
        <w:pStyle w:val="af5"/>
        <w:numPr>
          <w:ilvl w:val="0"/>
          <w:numId w:val="67"/>
        </w:numPr>
        <w:spacing w:before="120"/>
        <w:ind w:left="690" w:hanging="240"/>
        <w:rPr>
          <w:rFonts w:ascii="宋体" w:eastAsia="宋体" w:hAnsi="Times New Roman"/>
          <w:color w:val="000000"/>
        </w:rPr>
      </w:pPr>
      <w:r w:rsidRPr="00672BE0">
        <w:rPr>
          <w:rFonts w:ascii="宋体" w:eastAsia="宋体" w:hAnsi="Times New Roman" w:hint="eastAsia"/>
          <w:color w:val="000000"/>
        </w:rPr>
        <w:t>代表美国银行就其在中国的银行和证券业务许可和经营提供法律服务</w:t>
      </w:r>
    </w:p>
    <w:p w14:paraId="72CD086B" w14:textId="77777777" w:rsidR="00672BE0" w:rsidRDefault="00672BE0" w:rsidP="00672BE0">
      <w:pPr>
        <w:pStyle w:val="af5"/>
        <w:numPr>
          <w:ilvl w:val="0"/>
          <w:numId w:val="68"/>
        </w:numPr>
        <w:spacing w:before="120"/>
        <w:ind w:left="690" w:hanging="240"/>
        <w:rPr>
          <w:rFonts w:ascii="宋体" w:eastAsia="宋体" w:hAnsi="Times New Roman"/>
          <w:color w:val="000000"/>
        </w:rPr>
      </w:pPr>
      <w:r w:rsidRPr="00672BE0">
        <w:rPr>
          <w:rFonts w:ascii="宋体" w:eastAsia="宋体" w:hAnsi="Times New Roman" w:hint="eastAsia"/>
          <w:color w:val="000000"/>
        </w:rPr>
        <w:t>代表</w:t>
      </w:r>
      <w:r w:rsidRPr="00672BE0">
        <w:rPr>
          <w:rFonts w:ascii="宋体" w:eastAsia="宋体" w:hAnsi="Times New Roman"/>
          <w:color w:val="000000"/>
        </w:rPr>
        <w:t>MLBS 就其银行账户文件事项提供法律服务</w:t>
      </w:r>
    </w:p>
    <w:p w14:paraId="2DDB07B9" w14:textId="77777777" w:rsidR="00672BE0" w:rsidRDefault="00672BE0" w:rsidP="00672BE0">
      <w:pPr>
        <w:pStyle w:val="af5"/>
        <w:numPr>
          <w:ilvl w:val="0"/>
          <w:numId w:val="69"/>
        </w:numPr>
        <w:spacing w:before="120"/>
        <w:ind w:left="690" w:hanging="240"/>
        <w:rPr>
          <w:rFonts w:ascii="宋体" w:eastAsia="宋体" w:hAnsi="Times New Roman"/>
          <w:color w:val="000000"/>
        </w:rPr>
      </w:pPr>
      <w:r w:rsidRPr="00672BE0">
        <w:rPr>
          <w:rFonts w:ascii="宋体" w:eastAsia="宋体" w:hAnsi="Times New Roman" w:hint="eastAsia"/>
          <w:color w:val="000000"/>
        </w:rPr>
        <w:t>代表美国瓦乔维亚银行就其房地产贷款</w:t>
      </w:r>
      <w:r w:rsidRPr="00672BE0">
        <w:rPr>
          <w:rFonts w:ascii="宋体" w:eastAsia="宋体" w:hAnsi="Times New Roman"/>
          <w:color w:val="000000"/>
        </w:rPr>
        <w:t>/金融业务的中国监管要求提供法律服务</w:t>
      </w:r>
    </w:p>
    <w:p w14:paraId="30B48B05" w14:textId="77777777" w:rsidR="00672BE0" w:rsidRDefault="00672BE0" w:rsidP="00672BE0">
      <w:pPr>
        <w:pStyle w:val="af5"/>
        <w:numPr>
          <w:ilvl w:val="0"/>
          <w:numId w:val="70"/>
        </w:numPr>
        <w:spacing w:before="120"/>
        <w:ind w:left="690" w:hanging="240"/>
        <w:rPr>
          <w:rFonts w:ascii="宋体" w:eastAsia="宋体" w:hAnsi="Times New Roman"/>
          <w:color w:val="000000"/>
        </w:rPr>
      </w:pPr>
      <w:r w:rsidRPr="00672BE0">
        <w:rPr>
          <w:rFonts w:ascii="宋体" w:eastAsia="宋体" w:hAnsi="Times New Roman" w:hint="eastAsia"/>
          <w:color w:val="000000"/>
        </w:rPr>
        <w:t>代表美林银行就中国个人和企业开设境外账户进行证券交易提供法律服务</w:t>
      </w:r>
    </w:p>
    <w:p w14:paraId="015DD6B5" w14:textId="77777777" w:rsidR="00672BE0" w:rsidRDefault="00672BE0" w:rsidP="00672BE0">
      <w:pPr>
        <w:pStyle w:val="af5"/>
        <w:numPr>
          <w:ilvl w:val="0"/>
          <w:numId w:val="71"/>
        </w:numPr>
        <w:spacing w:before="120"/>
        <w:ind w:left="690" w:hanging="240"/>
        <w:rPr>
          <w:rFonts w:ascii="宋体" w:eastAsia="宋体" w:hAnsi="Times New Roman"/>
          <w:color w:val="000000"/>
        </w:rPr>
      </w:pPr>
      <w:r w:rsidRPr="00672BE0">
        <w:rPr>
          <w:rFonts w:ascii="宋体" w:eastAsia="宋体" w:hAnsi="Times New Roman" w:hint="eastAsia"/>
          <w:color w:val="000000"/>
        </w:rPr>
        <w:t>代表摩根士丹利资本国际就其与上海证券交易所就使用证券信息签署许可协议提供法律服务</w:t>
      </w:r>
    </w:p>
    <w:p w14:paraId="034DDFBC" w14:textId="77777777" w:rsidR="00672BE0" w:rsidRDefault="00672BE0" w:rsidP="00672BE0">
      <w:pPr>
        <w:pStyle w:val="af5"/>
        <w:numPr>
          <w:ilvl w:val="0"/>
          <w:numId w:val="72"/>
        </w:numPr>
        <w:spacing w:before="120"/>
        <w:ind w:left="690" w:hanging="240"/>
        <w:rPr>
          <w:rFonts w:ascii="宋体" w:eastAsia="宋体" w:hAnsi="Times New Roman"/>
          <w:color w:val="000000"/>
        </w:rPr>
      </w:pPr>
      <w:r w:rsidRPr="00672BE0">
        <w:rPr>
          <w:rFonts w:ascii="宋体" w:eastAsia="宋体" w:hAnsi="Times New Roman" w:hint="eastAsia"/>
          <w:color w:val="000000"/>
        </w:rPr>
        <w:t>代表一家国际会计师事务所就其清算和解散其在中国的一项业务提供法律服务</w:t>
      </w:r>
    </w:p>
    <w:p w14:paraId="54DE31F9" w14:textId="77777777" w:rsidR="00672BE0" w:rsidRDefault="00672BE0" w:rsidP="00672BE0">
      <w:pPr>
        <w:pStyle w:val="af5"/>
        <w:spacing w:after="0" w:line="480" w:lineRule="auto"/>
        <w:rPr>
          <w:rFonts w:ascii="宋体" w:eastAsia="宋体" w:hAnsi="宋体"/>
          <w:b/>
          <w:sz w:val="24"/>
        </w:rPr>
      </w:pPr>
      <w:r w:rsidRPr="00672BE0">
        <w:rPr>
          <w:rFonts w:ascii="宋体" w:eastAsia="宋体" w:hAnsi="宋体" w:hint="eastAsia"/>
          <w:b/>
          <w:sz w:val="24"/>
        </w:rPr>
        <w:t>教育背景</w:t>
      </w:r>
    </w:p>
    <w:p w14:paraId="0CFC12AB" w14:textId="77777777" w:rsidR="00672BE0" w:rsidRDefault="00672BE0" w:rsidP="00672BE0">
      <w:pPr>
        <w:pStyle w:val="af5"/>
        <w:numPr>
          <w:ilvl w:val="0"/>
          <w:numId w:val="73"/>
        </w:numPr>
        <w:spacing w:before="120"/>
        <w:ind w:left="690" w:hanging="240"/>
        <w:rPr>
          <w:rFonts w:ascii="宋体" w:eastAsia="宋体" w:hAnsi="Times New Roman"/>
          <w:color w:val="000000"/>
        </w:rPr>
      </w:pPr>
      <w:r w:rsidRPr="00672BE0">
        <w:rPr>
          <w:rFonts w:ascii="宋体" w:eastAsia="宋体" w:hAnsi="Times New Roman" w:hint="eastAsia"/>
          <w:color w:val="000000"/>
        </w:rPr>
        <w:t>北京大学法学院，法学学士</w:t>
      </w:r>
    </w:p>
    <w:p w14:paraId="39C0B3B1" w14:textId="77777777" w:rsidR="00672BE0" w:rsidRDefault="00672BE0" w:rsidP="00672BE0">
      <w:pPr>
        <w:pStyle w:val="af5"/>
        <w:numPr>
          <w:ilvl w:val="0"/>
          <w:numId w:val="74"/>
        </w:numPr>
        <w:spacing w:before="120"/>
        <w:ind w:left="690" w:hanging="240"/>
        <w:rPr>
          <w:rFonts w:ascii="宋体" w:eastAsia="宋体" w:hAnsi="Times New Roman"/>
          <w:color w:val="000000"/>
        </w:rPr>
      </w:pPr>
      <w:r w:rsidRPr="00672BE0">
        <w:rPr>
          <w:rFonts w:ascii="宋体" w:eastAsia="宋体" w:hAnsi="Times New Roman" w:hint="eastAsia"/>
          <w:color w:val="000000"/>
        </w:rPr>
        <w:t>哥伦比亚大学法学院，法学硕士</w:t>
      </w:r>
    </w:p>
    <w:p w14:paraId="210B723D" w14:textId="77777777" w:rsidR="00672BE0" w:rsidRDefault="00672BE0" w:rsidP="00672BE0">
      <w:pPr>
        <w:pStyle w:val="af5"/>
        <w:spacing w:after="0" w:line="480" w:lineRule="auto"/>
        <w:rPr>
          <w:rFonts w:ascii="宋体" w:eastAsia="宋体" w:hAnsi="宋体"/>
          <w:b/>
          <w:sz w:val="24"/>
        </w:rPr>
      </w:pPr>
      <w:r w:rsidRPr="00672BE0">
        <w:rPr>
          <w:rFonts w:ascii="宋体" w:eastAsia="宋体" w:hAnsi="宋体" w:hint="eastAsia"/>
          <w:b/>
          <w:sz w:val="24"/>
        </w:rPr>
        <w:t>执业资格</w:t>
      </w:r>
    </w:p>
    <w:p w14:paraId="7F5DF314" w14:textId="77777777" w:rsidR="00672BE0" w:rsidRDefault="00672BE0" w:rsidP="00672BE0">
      <w:pPr>
        <w:pStyle w:val="af5"/>
        <w:numPr>
          <w:ilvl w:val="0"/>
          <w:numId w:val="75"/>
        </w:numPr>
        <w:spacing w:before="120"/>
        <w:ind w:left="690" w:hanging="240"/>
        <w:rPr>
          <w:rFonts w:ascii="宋体" w:eastAsia="宋体" w:hAnsi="Times New Roman"/>
          <w:color w:val="000000"/>
        </w:rPr>
      </w:pPr>
      <w:r w:rsidRPr="00672BE0">
        <w:rPr>
          <w:rFonts w:ascii="宋体" w:eastAsia="宋体" w:hAnsi="Times New Roman" w:hint="eastAsia"/>
          <w:color w:val="000000"/>
        </w:rPr>
        <w:t>中华人民共和国执业律师</w:t>
      </w:r>
    </w:p>
    <w:p w14:paraId="0AF178CD" w14:textId="77777777" w:rsidR="00672BE0" w:rsidRDefault="00672BE0" w:rsidP="00672BE0">
      <w:pPr>
        <w:pStyle w:val="af5"/>
        <w:numPr>
          <w:ilvl w:val="0"/>
          <w:numId w:val="76"/>
        </w:numPr>
        <w:spacing w:before="120"/>
        <w:ind w:left="690" w:hanging="240"/>
        <w:rPr>
          <w:rFonts w:ascii="宋体" w:eastAsia="宋体" w:hAnsi="Times New Roman"/>
          <w:color w:val="000000"/>
        </w:rPr>
      </w:pPr>
      <w:r w:rsidRPr="00672BE0">
        <w:rPr>
          <w:rFonts w:ascii="宋体" w:eastAsia="宋体" w:hAnsi="Times New Roman" w:hint="eastAsia"/>
          <w:color w:val="000000"/>
        </w:rPr>
        <w:t>美国纽约州律师资格</w:t>
      </w:r>
    </w:p>
    <w:p w14:paraId="066F9BA4" w14:textId="77777777" w:rsidR="00672BE0" w:rsidRDefault="00672BE0" w:rsidP="00672BE0">
      <w:pPr>
        <w:pStyle w:val="af5"/>
        <w:spacing w:after="0" w:line="480" w:lineRule="auto"/>
        <w:rPr>
          <w:rFonts w:ascii="宋体" w:eastAsia="宋体" w:hAnsi="宋体"/>
          <w:b/>
          <w:sz w:val="24"/>
        </w:rPr>
      </w:pPr>
      <w:r w:rsidRPr="00672BE0">
        <w:rPr>
          <w:rFonts w:ascii="宋体" w:eastAsia="宋体" w:hAnsi="宋体" w:hint="eastAsia"/>
          <w:b/>
          <w:sz w:val="24"/>
        </w:rPr>
        <w:t>职业背景</w:t>
      </w:r>
    </w:p>
    <w:p w14:paraId="2CAA2BF4" w14:textId="77777777" w:rsidR="00672BE0" w:rsidRDefault="00672BE0" w:rsidP="00672BE0">
      <w:pPr>
        <w:pStyle w:val="af5"/>
        <w:numPr>
          <w:ilvl w:val="0"/>
          <w:numId w:val="77"/>
        </w:numPr>
        <w:spacing w:before="120"/>
        <w:ind w:left="690" w:hanging="240"/>
        <w:rPr>
          <w:rFonts w:ascii="宋体" w:eastAsia="宋体" w:hAnsi="Times New Roman"/>
          <w:color w:val="000000"/>
        </w:rPr>
      </w:pPr>
      <w:r w:rsidRPr="00672BE0">
        <w:rPr>
          <w:rFonts w:ascii="宋体" w:eastAsia="宋体" w:hAnsi="Times New Roman" w:hint="eastAsia"/>
          <w:color w:val="000000"/>
        </w:rPr>
        <w:t>在加入方达之前，任律师先后担任一家国际知名投行的境内子公司和其中国区业务（包括证券、期货、基金、大宗商品、信托、担保、特殊机会投资、量化研究）的合规负责人，在处理各种金融企业法律合规事务方面拥有丰富的经验。任律师还曾在一家国际律师事务所工作多年。</w:t>
      </w:r>
    </w:p>
    <w:p w14:paraId="06E346F9" w14:textId="77777777" w:rsidR="00672BE0" w:rsidRDefault="00672BE0" w:rsidP="00672BE0">
      <w:pPr>
        <w:pStyle w:val="af5"/>
        <w:spacing w:after="0" w:line="480" w:lineRule="auto"/>
        <w:rPr>
          <w:rFonts w:ascii="宋体" w:eastAsia="宋体" w:hAnsi="宋体"/>
          <w:b/>
          <w:sz w:val="24"/>
        </w:rPr>
      </w:pPr>
      <w:r w:rsidRPr="00672BE0">
        <w:rPr>
          <w:rFonts w:ascii="宋体" w:eastAsia="宋体" w:hAnsi="宋体" w:hint="eastAsia"/>
          <w:b/>
          <w:sz w:val="24"/>
        </w:rPr>
        <w:t>其他信息</w:t>
      </w:r>
    </w:p>
    <w:p w14:paraId="6CE14274" w14:textId="77777777" w:rsidR="00672BE0" w:rsidRDefault="00672BE0" w:rsidP="00672BE0">
      <w:pPr>
        <w:pStyle w:val="af5"/>
        <w:spacing w:after="0" w:line="480" w:lineRule="auto"/>
        <w:rPr>
          <w:rFonts w:ascii="宋体" w:eastAsia="宋体" w:hAnsi="宋体"/>
          <w:b/>
          <w:sz w:val="24"/>
        </w:rPr>
      </w:pPr>
      <w:r w:rsidRPr="00672BE0">
        <w:rPr>
          <w:rFonts w:ascii="宋体" w:eastAsia="宋体" w:hAnsi="宋体" w:hint="eastAsia"/>
          <w:b/>
          <w:sz w:val="24"/>
        </w:rPr>
        <w:t>出版物</w:t>
      </w:r>
    </w:p>
    <w:p w14:paraId="0C486DAA" w14:textId="77777777" w:rsidR="00672BE0" w:rsidRDefault="00672BE0" w:rsidP="00672BE0">
      <w:pPr>
        <w:pStyle w:val="af5"/>
        <w:numPr>
          <w:ilvl w:val="0"/>
          <w:numId w:val="78"/>
        </w:numPr>
        <w:spacing w:before="120"/>
        <w:ind w:left="690" w:hanging="240"/>
        <w:rPr>
          <w:rFonts w:ascii="宋体" w:eastAsia="宋体" w:hAnsi="Times New Roman"/>
          <w:color w:val="000000"/>
        </w:rPr>
      </w:pPr>
      <w:r w:rsidRPr="00672BE0">
        <w:rPr>
          <w:rFonts w:ascii="宋体" w:eastAsia="宋体" w:hAnsi="Times New Roman"/>
          <w:color w:val="000000"/>
        </w:rPr>
        <w:t xml:space="preserve">China Chapter of The Asset Management Review (Fifth Edition) </w:t>
      </w:r>
    </w:p>
    <w:p w14:paraId="20C09BDE" w14:textId="77777777" w:rsidR="00672BE0" w:rsidRDefault="00672BE0" w:rsidP="00672BE0">
      <w:pPr>
        <w:pStyle w:val="af5"/>
        <w:numPr>
          <w:ilvl w:val="0"/>
          <w:numId w:val="79"/>
        </w:numPr>
        <w:spacing w:before="120"/>
        <w:ind w:left="690" w:hanging="240"/>
        <w:rPr>
          <w:rFonts w:ascii="宋体" w:eastAsia="宋体" w:hAnsi="Times New Roman"/>
          <w:color w:val="000000"/>
        </w:rPr>
      </w:pPr>
      <w:r w:rsidRPr="00672BE0">
        <w:rPr>
          <w:rFonts w:ascii="宋体" w:eastAsia="宋体" w:hAnsi="Times New Roman"/>
          <w:color w:val="000000"/>
        </w:rPr>
        <w:t xml:space="preserve">China Chapter of The Hedge Funds --- A Practical Global Handbook to the Law and Regulation (Second Edition) </w:t>
      </w:r>
    </w:p>
    <w:p w14:paraId="5B6FC930" w14:textId="77777777" w:rsidR="00672BE0" w:rsidRDefault="00672BE0" w:rsidP="00672BE0">
      <w:pPr>
        <w:pStyle w:val="af5"/>
        <w:numPr>
          <w:ilvl w:val="0"/>
          <w:numId w:val="80"/>
        </w:numPr>
        <w:spacing w:before="120"/>
        <w:ind w:left="690" w:hanging="240"/>
        <w:rPr>
          <w:rFonts w:ascii="宋体" w:eastAsia="宋体" w:hAnsi="Times New Roman"/>
          <w:color w:val="000000"/>
        </w:rPr>
      </w:pPr>
      <w:r w:rsidRPr="00672BE0">
        <w:rPr>
          <w:rFonts w:ascii="宋体" w:eastAsia="宋体" w:hAnsi="Times New Roman"/>
          <w:color w:val="000000"/>
        </w:rPr>
        <w:t xml:space="preserve">China Chapter of FINTECH </w:t>
      </w:r>
      <w:r w:rsidRPr="00672BE0">
        <w:rPr>
          <w:rFonts w:ascii="宋体" w:eastAsia="宋体" w:hAnsi="Times New Roman"/>
          <w:color w:val="000000"/>
        </w:rPr>
        <w:t>—</w:t>
      </w:r>
      <w:r w:rsidRPr="00672BE0">
        <w:rPr>
          <w:rFonts w:ascii="宋体" w:eastAsia="宋体" w:hAnsi="Times New Roman"/>
          <w:color w:val="000000"/>
        </w:rPr>
        <w:t xml:space="preserve"> International Comparative Legal Guides (Six Edition) </w:t>
      </w:r>
    </w:p>
    <w:p w14:paraId="315B43B1" w14:textId="77777777" w:rsidR="00672BE0" w:rsidRDefault="00672BE0" w:rsidP="00672BE0">
      <w:pPr>
        <w:pStyle w:val="af5"/>
        <w:numPr>
          <w:ilvl w:val="0"/>
          <w:numId w:val="81"/>
        </w:numPr>
        <w:spacing w:before="120"/>
        <w:ind w:left="690" w:hanging="240"/>
        <w:rPr>
          <w:rFonts w:ascii="宋体" w:eastAsia="宋体" w:hAnsi="Times New Roman"/>
          <w:color w:val="000000"/>
        </w:rPr>
      </w:pPr>
      <w:r w:rsidRPr="00672BE0">
        <w:rPr>
          <w:rFonts w:ascii="宋体" w:eastAsia="宋体" w:hAnsi="Times New Roman"/>
          <w:color w:val="000000"/>
        </w:rPr>
        <w:t xml:space="preserve">China Chapter of Digital Business </w:t>
      </w:r>
      <w:r w:rsidRPr="00672BE0">
        <w:rPr>
          <w:rFonts w:ascii="宋体" w:eastAsia="宋体" w:hAnsi="Times New Roman"/>
          <w:color w:val="000000"/>
        </w:rPr>
        <w:t>—</w:t>
      </w:r>
      <w:r w:rsidRPr="00672BE0">
        <w:rPr>
          <w:rFonts w:ascii="宋体" w:eastAsia="宋体" w:hAnsi="Times New Roman"/>
          <w:color w:val="000000"/>
        </w:rPr>
        <w:t xml:space="preserve"> International Comparative Legal Guides </w:t>
      </w:r>
    </w:p>
    <w:p w14:paraId="28A14DB6" w14:textId="77777777" w:rsidR="00672BE0" w:rsidRDefault="00672BE0" w:rsidP="00672BE0">
      <w:pPr>
        <w:pStyle w:val="af5"/>
        <w:numPr>
          <w:ilvl w:val="0"/>
          <w:numId w:val="82"/>
        </w:numPr>
        <w:spacing w:before="120"/>
        <w:ind w:left="690" w:hanging="240"/>
        <w:rPr>
          <w:rFonts w:ascii="宋体" w:eastAsia="宋体" w:hAnsi="Times New Roman"/>
          <w:color w:val="000000"/>
        </w:rPr>
      </w:pPr>
      <w:r w:rsidRPr="00672BE0">
        <w:rPr>
          <w:rFonts w:ascii="宋体" w:eastAsia="宋体" w:hAnsi="Times New Roman"/>
          <w:color w:val="000000"/>
        </w:rPr>
        <w:t>ASIFMA</w:t>
      </w:r>
      <w:r w:rsidRPr="00672BE0">
        <w:rPr>
          <w:rFonts w:ascii="宋体" w:eastAsia="宋体" w:hAnsi="Times New Roman"/>
          <w:color w:val="000000"/>
        </w:rPr>
        <w:t>’</w:t>
      </w:r>
      <w:r w:rsidRPr="00672BE0">
        <w:rPr>
          <w:rFonts w:ascii="宋体" w:eastAsia="宋体" w:hAnsi="Times New Roman"/>
          <w:color w:val="000000"/>
        </w:rPr>
        <w:t xml:space="preserve">s 2023 Capital Markets White Paper </w:t>
      </w:r>
      <w:r w:rsidRPr="00672BE0">
        <w:rPr>
          <w:rFonts w:ascii="宋体" w:eastAsia="宋体" w:hAnsi="Times New Roman"/>
          <w:color w:val="000000"/>
        </w:rPr>
        <w:t>—</w:t>
      </w:r>
      <w:r w:rsidRPr="00672BE0">
        <w:rPr>
          <w:rFonts w:ascii="宋体" w:eastAsia="宋体" w:hAnsi="Times New Roman"/>
          <w:color w:val="000000"/>
        </w:rPr>
        <w:t xml:space="preserve"> China</w:t>
      </w:r>
      <w:r w:rsidRPr="00672BE0">
        <w:rPr>
          <w:rFonts w:ascii="宋体" w:eastAsia="宋体" w:hAnsi="Times New Roman"/>
          <w:color w:val="000000"/>
        </w:rPr>
        <w:t>’</w:t>
      </w:r>
      <w:r w:rsidRPr="00672BE0">
        <w:rPr>
          <w:rFonts w:ascii="宋体" w:eastAsia="宋体" w:hAnsi="Times New Roman"/>
          <w:color w:val="000000"/>
        </w:rPr>
        <w:t xml:space="preserve">s Capital Markets: A Market in Transition </w:t>
      </w:r>
    </w:p>
    <w:p w14:paraId="424E5FDB" w14:textId="77777777" w:rsidR="00672BE0" w:rsidRDefault="00672BE0" w:rsidP="00672BE0">
      <w:pPr>
        <w:pStyle w:val="af5"/>
        <w:numPr>
          <w:ilvl w:val="0"/>
          <w:numId w:val="83"/>
        </w:numPr>
        <w:spacing w:before="120"/>
        <w:ind w:left="690" w:hanging="240"/>
        <w:rPr>
          <w:rFonts w:ascii="宋体" w:eastAsia="宋体" w:hAnsi="Times New Roman"/>
          <w:color w:val="000000"/>
        </w:rPr>
      </w:pPr>
      <w:r w:rsidRPr="00672BE0">
        <w:rPr>
          <w:rFonts w:ascii="宋体" w:eastAsia="宋体" w:hAnsi="Times New Roman"/>
          <w:color w:val="000000"/>
        </w:rPr>
        <w:t xml:space="preserve">The Anti-Money Laundering Law Review: China </w:t>
      </w:r>
      <w:r w:rsidRPr="00672BE0">
        <w:rPr>
          <w:rFonts w:ascii="宋体" w:eastAsia="宋体" w:hAnsi="Times New Roman"/>
          <w:color w:val="000000"/>
        </w:rPr>
        <w:t>—</w:t>
      </w:r>
      <w:r w:rsidRPr="00672BE0">
        <w:rPr>
          <w:rFonts w:ascii="宋体" w:eastAsia="宋体" w:hAnsi="Times New Roman"/>
          <w:color w:val="000000"/>
        </w:rPr>
        <w:t xml:space="preserve"> Lexology </w:t>
      </w:r>
    </w:p>
    <w:p w14:paraId="72D63C89" w14:textId="77777777" w:rsidR="00672BE0" w:rsidRDefault="00672BE0" w:rsidP="00672BE0">
      <w:pPr>
        <w:pStyle w:val="af5"/>
        <w:numPr>
          <w:ilvl w:val="0"/>
          <w:numId w:val="84"/>
        </w:numPr>
        <w:spacing w:before="120"/>
        <w:ind w:left="690" w:hanging="240"/>
        <w:rPr>
          <w:rFonts w:ascii="宋体" w:eastAsia="宋体" w:hAnsi="Times New Roman"/>
          <w:color w:val="000000"/>
        </w:rPr>
      </w:pPr>
      <w:r w:rsidRPr="00672BE0">
        <w:rPr>
          <w:rFonts w:ascii="宋体" w:eastAsia="宋体" w:hAnsi="Times New Roman"/>
          <w:color w:val="000000"/>
        </w:rPr>
        <w:t xml:space="preserve">PANORAMIC Financial Services M&amp;A China </w:t>
      </w:r>
      <w:r w:rsidRPr="00672BE0">
        <w:rPr>
          <w:rFonts w:ascii="宋体" w:eastAsia="宋体" w:hAnsi="Times New Roman"/>
          <w:color w:val="000000"/>
        </w:rPr>
        <w:t>—</w:t>
      </w:r>
      <w:r w:rsidRPr="00672BE0">
        <w:rPr>
          <w:rFonts w:ascii="宋体" w:eastAsia="宋体" w:hAnsi="Times New Roman"/>
          <w:color w:val="000000"/>
        </w:rPr>
        <w:t xml:space="preserve"> Lexology </w:t>
      </w:r>
    </w:p>
    <w:p w14:paraId="21D4C6CC" w14:textId="77777777" w:rsidR="00672BE0" w:rsidRDefault="00672BE0" w:rsidP="00672BE0">
      <w:pPr>
        <w:pStyle w:val="af5"/>
        <w:spacing w:after="0" w:line="480" w:lineRule="auto"/>
        <w:rPr>
          <w:rFonts w:ascii="宋体" w:eastAsia="宋体" w:hAnsi="宋体"/>
          <w:b/>
          <w:sz w:val="24"/>
        </w:rPr>
      </w:pPr>
      <w:r w:rsidRPr="00672BE0">
        <w:rPr>
          <w:rFonts w:ascii="宋体" w:eastAsia="宋体" w:hAnsi="宋体" w:hint="eastAsia"/>
          <w:b/>
          <w:sz w:val="24"/>
        </w:rPr>
        <w:t>获奖情况</w:t>
      </w:r>
    </w:p>
    <w:p w14:paraId="58666538" w14:textId="77777777" w:rsidR="00672BE0" w:rsidRDefault="00672BE0" w:rsidP="00672BE0">
      <w:pPr>
        <w:pStyle w:val="af5"/>
        <w:numPr>
          <w:ilvl w:val="0"/>
          <w:numId w:val="85"/>
        </w:numPr>
        <w:spacing w:before="120"/>
        <w:ind w:left="690" w:hanging="240"/>
        <w:rPr>
          <w:rFonts w:ascii="宋体" w:eastAsia="宋体" w:hAnsi="Times New Roman"/>
          <w:color w:val="000000"/>
        </w:rPr>
      </w:pPr>
      <w:r w:rsidRPr="00672BE0">
        <w:rPr>
          <w:rFonts w:ascii="宋体" w:eastAsia="宋体" w:hAnsi="Times New Roman"/>
          <w:color w:val="000000"/>
        </w:rPr>
        <w:t>2021年度中国律师特别推荐榜15强</w:t>
      </w:r>
      <w:r w:rsidRPr="00672BE0">
        <w:rPr>
          <w:rFonts w:ascii="宋体" w:eastAsia="宋体" w:hAnsi="Times New Roman"/>
          <w:color w:val="000000"/>
        </w:rPr>
        <w:t>——</w:t>
      </w:r>
      <w:r w:rsidRPr="00672BE0">
        <w:rPr>
          <w:rFonts w:ascii="宋体" w:eastAsia="宋体" w:hAnsi="Times New Roman"/>
          <w:color w:val="000000"/>
        </w:rPr>
        <w:t xml:space="preserve">资产管理 (LEGALBAND) </w:t>
      </w:r>
    </w:p>
    <w:p w14:paraId="77420D75" w14:textId="77777777" w:rsidR="00672BE0" w:rsidRDefault="00672BE0" w:rsidP="00672BE0">
      <w:pPr>
        <w:pStyle w:val="af5"/>
        <w:numPr>
          <w:ilvl w:val="0"/>
          <w:numId w:val="86"/>
        </w:numPr>
        <w:spacing w:before="120"/>
        <w:ind w:left="690" w:hanging="240"/>
        <w:rPr>
          <w:rFonts w:ascii="宋体" w:eastAsia="宋体" w:hAnsi="Times New Roman"/>
          <w:color w:val="000000"/>
        </w:rPr>
      </w:pPr>
      <w:r w:rsidRPr="00672BE0">
        <w:rPr>
          <w:rFonts w:ascii="宋体" w:eastAsia="宋体" w:hAnsi="Times New Roman"/>
          <w:color w:val="000000"/>
        </w:rPr>
        <w:t xml:space="preserve">2021年3月16日商法杂志专题报道 </w:t>
      </w:r>
    </w:p>
    <w:p w14:paraId="061108B8" w14:textId="77777777" w:rsidR="00672BE0" w:rsidRDefault="00672BE0" w:rsidP="00672BE0">
      <w:pPr>
        <w:pStyle w:val="af5"/>
        <w:numPr>
          <w:ilvl w:val="0"/>
          <w:numId w:val="87"/>
        </w:numPr>
        <w:spacing w:before="120"/>
        <w:ind w:left="690" w:hanging="240"/>
        <w:rPr>
          <w:rFonts w:ascii="宋体" w:eastAsia="宋体" w:hAnsi="Times New Roman"/>
          <w:color w:val="000000"/>
        </w:rPr>
      </w:pPr>
      <w:r w:rsidRPr="00672BE0">
        <w:rPr>
          <w:rFonts w:ascii="宋体" w:eastAsia="宋体" w:hAnsi="Times New Roman"/>
          <w:color w:val="000000"/>
        </w:rPr>
        <w:t xml:space="preserve">2022/2023/2024 Deal Maker of the Year Award (FINANCIAL MONTHLY) </w:t>
      </w:r>
    </w:p>
    <w:p w14:paraId="405D315E" w14:textId="77777777" w:rsidR="00672BE0" w:rsidRDefault="00672BE0" w:rsidP="00672BE0">
      <w:pPr>
        <w:pStyle w:val="af5"/>
        <w:numPr>
          <w:ilvl w:val="0"/>
          <w:numId w:val="88"/>
        </w:numPr>
        <w:spacing w:before="120"/>
        <w:ind w:left="690" w:hanging="240"/>
        <w:rPr>
          <w:rFonts w:ascii="宋体" w:eastAsia="宋体" w:hAnsi="Times New Roman"/>
          <w:color w:val="000000"/>
        </w:rPr>
      </w:pPr>
      <w:r w:rsidRPr="00672BE0">
        <w:rPr>
          <w:rFonts w:ascii="宋体" w:eastAsia="宋体" w:hAnsi="Times New Roman"/>
          <w:color w:val="000000"/>
        </w:rPr>
        <w:t xml:space="preserve">2023/2024 Digital Business Law Firm of the Year (Corporate LiveWire Global Awards) </w:t>
      </w:r>
    </w:p>
    <w:p w14:paraId="3A3E1909" w14:textId="77777777" w:rsidR="00672BE0" w:rsidRDefault="00672BE0" w:rsidP="00672BE0">
      <w:pPr>
        <w:pStyle w:val="af5"/>
        <w:numPr>
          <w:ilvl w:val="0"/>
          <w:numId w:val="89"/>
        </w:numPr>
        <w:spacing w:before="120"/>
        <w:ind w:left="690" w:hanging="240"/>
        <w:rPr>
          <w:rFonts w:ascii="宋体" w:eastAsia="宋体" w:hAnsi="Times New Roman"/>
          <w:color w:val="000000"/>
        </w:rPr>
      </w:pPr>
      <w:r w:rsidRPr="00672BE0">
        <w:rPr>
          <w:rFonts w:ascii="宋体" w:eastAsia="宋体" w:hAnsi="Times New Roman"/>
          <w:color w:val="000000"/>
        </w:rPr>
        <w:t xml:space="preserve">2024 Regulatory Lawyer of the Year in China (Corporate INTL Magazine Global Award) </w:t>
      </w:r>
    </w:p>
    <w:p w14:paraId="76F63532" w14:textId="77777777" w:rsidR="00672BE0" w:rsidRDefault="00672BE0" w:rsidP="00672BE0">
      <w:pPr>
        <w:pStyle w:val="af5"/>
        <w:numPr>
          <w:ilvl w:val="0"/>
          <w:numId w:val="90"/>
        </w:numPr>
        <w:spacing w:before="120"/>
        <w:ind w:left="690" w:hanging="240"/>
        <w:rPr>
          <w:rFonts w:ascii="宋体" w:eastAsia="宋体" w:hAnsi="Times New Roman"/>
          <w:color w:val="000000"/>
        </w:rPr>
      </w:pPr>
      <w:r w:rsidRPr="00672BE0">
        <w:rPr>
          <w:rFonts w:ascii="宋体" w:eastAsia="宋体" w:hAnsi="Times New Roman"/>
          <w:color w:val="000000"/>
        </w:rPr>
        <w:t xml:space="preserve">2024 Compliance Lawyer of the Year in China (Corporate INTL Magazine Global Award) </w:t>
      </w:r>
    </w:p>
    <w:p w14:paraId="1E8AEAE4" w14:textId="77777777" w:rsidR="00672BE0" w:rsidRDefault="00672BE0" w:rsidP="00672BE0">
      <w:pPr>
        <w:pStyle w:val="af5"/>
        <w:numPr>
          <w:ilvl w:val="0"/>
          <w:numId w:val="91"/>
        </w:numPr>
        <w:spacing w:before="120"/>
        <w:ind w:left="690" w:hanging="240"/>
        <w:rPr>
          <w:rFonts w:ascii="宋体" w:eastAsia="宋体" w:hAnsi="Times New Roman"/>
          <w:color w:val="000000"/>
        </w:rPr>
      </w:pPr>
      <w:r w:rsidRPr="00672BE0">
        <w:rPr>
          <w:rFonts w:ascii="宋体" w:eastAsia="宋体" w:hAnsi="Times New Roman"/>
          <w:color w:val="000000"/>
        </w:rPr>
        <w:t xml:space="preserve">2024 Asset Management Lawyer of the Year in China (Corporate INTL Magazine Global Award) </w:t>
      </w:r>
    </w:p>
    <w:p w14:paraId="07624BA1" w14:textId="77777777" w:rsidR="00672BE0" w:rsidRDefault="00672BE0" w:rsidP="00672BE0">
      <w:pPr>
        <w:pStyle w:val="af5"/>
        <w:numPr>
          <w:ilvl w:val="0"/>
          <w:numId w:val="92"/>
        </w:numPr>
        <w:spacing w:before="120"/>
        <w:ind w:left="690" w:hanging="240"/>
        <w:rPr>
          <w:rFonts w:ascii="宋体" w:eastAsia="宋体" w:hAnsi="Times New Roman"/>
          <w:color w:val="000000"/>
        </w:rPr>
      </w:pPr>
      <w:r w:rsidRPr="00672BE0">
        <w:rPr>
          <w:rFonts w:ascii="宋体" w:eastAsia="宋体" w:hAnsi="Times New Roman"/>
          <w:color w:val="000000"/>
        </w:rPr>
        <w:t xml:space="preserve">法律500强（The Legal 500）中国2024特别推荐（金融科技/保险） </w:t>
      </w:r>
    </w:p>
    <w:p w14:paraId="2C5B9871" w14:textId="77777777" w:rsidR="00672BE0" w:rsidRDefault="00672BE0" w:rsidP="00672BE0">
      <w:pPr>
        <w:pStyle w:val="af5"/>
        <w:numPr>
          <w:ilvl w:val="0"/>
          <w:numId w:val="93"/>
        </w:numPr>
        <w:spacing w:before="120"/>
        <w:ind w:left="690" w:hanging="240"/>
        <w:rPr>
          <w:rFonts w:ascii="宋体" w:eastAsia="宋体" w:hAnsi="Times New Roman"/>
          <w:color w:val="000000"/>
        </w:rPr>
      </w:pPr>
      <w:r w:rsidRPr="00672BE0">
        <w:rPr>
          <w:rFonts w:ascii="宋体" w:eastAsia="宋体" w:hAnsi="Times New Roman"/>
          <w:color w:val="000000"/>
        </w:rPr>
        <w:t xml:space="preserve">2024 Regulatory Lawyer of the Year in China (Global Law Experts Annual Award) </w:t>
      </w:r>
    </w:p>
    <w:p w14:paraId="47768048" w14:textId="77777777" w:rsidR="00672BE0" w:rsidRDefault="00672BE0" w:rsidP="00672BE0">
      <w:pPr>
        <w:pStyle w:val="af5"/>
        <w:numPr>
          <w:ilvl w:val="0"/>
          <w:numId w:val="94"/>
        </w:numPr>
        <w:spacing w:before="120"/>
        <w:ind w:left="690" w:hanging="240"/>
        <w:rPr>
          <w:rFonts w:ascii="宋体" w:eastAsia="宋体" w:hAnsi="Times New Roman"/>
          <w:color w:val="000000"/>
        </w:rPr>
      </w:pPr>
      <w:r w:rsidRPr="00672BE0">
        <w:rPr>
          <w:rFonts w:ascii="宋体" w:eastAsia="宋体" w:hAnsi="Times New Roman"/>
          <w:color w:val="000000"/>
        </w:rPr>
        <w:t xml:space="preserve">2024 Compliance Lawyer of the Year in China (Global Law Experts Annual Award) </w:t>
      </w:r>
    </w:p>
    <w:p w14:paraId="4F0A196B" w14:textId="0DB3BD3E" w:rsidR="00A46A04" w:rsidRPr="00672BE0" w:rsidRDefault="00672BE0" w:rsidP="00672BE0">
      <w:pPr>
        <w:pStyle w:val="af5"/>
        <w:numPr>
          <w:ilvl w:val="0"/>
          <w:numId w:val="95"/>
        </w:numPr>
        <w:spacing w:before="120"/>
        <w:ind w:left="690" w:hanging="240"/>
        <w:rPr>
          <w:rFonts w:ascii="宋体" w:eastAsia="宋体" w:hAnsi="Times New Roman"/>
          <w:color w:val="000000"/>
        </w:rPr>
      </w:pPr>
      <w:r w:rsidRPr="00672BE0">
        <w:rPr>
          <w:rFonts w:ascii="宋体" w:eastAsia="宋体" w:hAnsi="Times New Roman"/>
          <w:color w:val="000000"/>
        </w:rPr>
        <w:t xml:space="preserve">2024 Asset Management Lawyer of the Year in China (Global Law Experts Annual Award) </w:t>
      </w:r>
    </w:p>
    <w:sectPr w:rsidR="00A46A04" w:rsidRPr="00672BE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FA5"/>
    <w:multiLevelType w:val="singleLevel"/>
    <w:tmpl w:val="2898AC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5B4FA3"/>
    <w:multiLevelType w:val="singleLevel"/>
    <w:tmpl w:val="FAE266C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0B414B"/>
    <w:multiLevelType w:val="singleLevel"/>
    <w:tmpl w:val="A690517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15000E1"/>
    <w:multiLevelType w:val="singleLevel"/>
    <w:tmpl w:val="6696F91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2DB369C"/>
    <w:multiLevelType w:val="singleLevel"/>
    <w:tmpl w:val="A4D073B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31D19F4"/>
    <w:multiLevelType w:val="singleLevel"/>
    <w:tmpl w:val="FD240A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5176346"/>
    <w:multiLevelType w:val="singleLevel"/>
    <w:tmpl w:val="D3700DA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7A2051D"/>
    <w:multiLevelType w:val="singleLevel"/>
    <w:tmpl w:val="3B8A81E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811246B"/>
    <w:multiLevelType w:val="singleLevel"/>
    <w:tmpl w:val="C1EE45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8F01902"/>
    <w:multiLevelType w:val="singleLevel"/>
    <w:tmpl w:val="A626903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9314B07"/>
    <w:multiLevelType w:val="singleLevel"/>
    <w:tmpl w:val="2D706A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99C633F"/>
    <w:multiLevelType w:val="singleLevel"/>
    <w:tmpl w:val="202230F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ACC6BBF"/>
    <w:multiLevelType w:val="singleLevel"/>
    <w:tmpl w:val="D27C568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0B5D2C1A"/>
    <w:multiLevelType w:val="singleLevel"/>
    <w:tmpl w:val="5D5265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0BCA704F"/>
    <w:multiLevelType w:val="singleLevel"/>
    <w:tmpl w:val="ACD6F83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0BED47DC"/>
    <w:multiLevelType w:val="singleLevel"/>
    <w:tmpl w:val="5E927A6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0CFD79D4"/>
    <w:multiLevelType w:val="singleLevel"/>
    <w:tmpl w:val="789422F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0DB633AD"/>
    <w:multiLevelType w:val="singleLevel"/>
    <w:tmpl w:val="43AEE7B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0EE65163"/>
    <w:multiLevelType w:val="singleLevel"/>
    <w:tmpl w:val="D9FEA1F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0F3B0F02"/>
    <w:multiLevelType w:val="singleLevel"/>
    <w:tmpl w:val="BE323B1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0FC942B7"/>
    <w:multiLevelType w:val="singleLevel"/>
    <w:tmpl w:val="DFD0BC8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3C0605F"/>
    <w:multiLevelType w:val="singleLevel"/>
    <w:tmpl w:val="B07E862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404212E"/>
    <w:multiLevelType w:val="singleLevel"/>
    <w:tmpl w:val="60D40E8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140C36B9"/>
    <w:multiLevelType w:val="singleLevel"/>
    <w:tmpl w:val="8754008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154652FC"/>
    <w:multiLevelType w:val="singleLevel"/>
    <w:tmpl w:val="19D8E69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166672C3"/>
    <w:multiLevelType w:val="singleLevel"/>
    <w:tmpl w:val="CD96890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18617D7D"/>
    <w:multiLevelType w:val="singleLevel"/>
    <w:tmpl w:val="81B69E1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1A183700"/>
    <w:multiLevelType w:val="singleLevel"/>
    <w:tmpl w:val="84F65F3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1A880CE6"/>
    <w:multiLevelType w:val="singleLevel"/>
    <w:tmpl w:val="3A34292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1D9813C2"/>
    <w:multiLevelType w:val="singleLevel"/>
    <w:tmpl w:val="23049D1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1F1B0980"/>
    <w:multiLevelType w:val="singleLevel"/>
    <w:tmpl w:val="FB3CD19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00F168C"/>
    <w:multiLevelType w:val="singleLevel"/>
    <w:tmpl w:val="9AC2ABA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03245EC"/>
    <w:multiLevelType w:val="singleLevel"/>
    <w:tmpl w:val="CABC21E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13410FD"/>
    <w:multiLevelType w:val="singleLevel"/>
    <w:tmpl w:val="EF88E3B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1417659"/>
    <w:multiLevelType w:val="singleLevel"/>
    <w:tmpl w:val="368874A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22623C14"/>
    <w:multiLevelType w:val="singleLevel"/>
    <w:tmpl w:val="4B069B2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22846009"/>
    <w:multiLevelType w:val="singleLevel"/>
    <w:tmpl w:val="0A3E447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22890FBD"/>
    <w:multiLevelType w:val="singleLevel"/>
    <w:tmpl w:val="580E964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238907C9"/>
    <w:multiLevelType w:val="singleLevel"/>
    <w:tmpl w:val="7108A39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23E42303"/>
    <w:multiLevelType w:val="singleLevel"/>
    <w:tmpl w:val="2AE4FBC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24DA7865"/>
    <w:multiLevelType w:val="singleLevel"/>
    <w:tmpl w:val="5C6289E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252F41C4"/>
    <w:multiLevelType w:val="singleLevel"/>
    <w:tmpl w:val="EBF8524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25667312"/>
    <w:multiLevelType w:val="singleLevel"/>
    <w:tmpl w:val="7F6EFF8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25E91F5F"/>
    <w:multiLevelType w:val="singleLevel"/>
    <w:tmpl w:val="7440555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2BD83096"/>
    <w:multiLevelType w:val="singleLevel"/>
    <w:tmpl w:val="8356E00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2C0460A0"/>
    <w:multiLevelType w:val="singleLevel"/>
    <w:tmpl w:val="E9A85C6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2F1914FA"/>
    <w:multiLevelType w:val="singleLevel"/>
    <w:tmpl w:val="6204CE6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2F6B473D"/>
    <w:multiLevelType w:val="singleLevel"/>
    <w:tmpl w:val="1F3A388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31444CD1"/>
    <w:multiLevelType w:val="singleLevel"/>
    <w:tmpl w:val="FEB86C5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33266762"/>
    <w:multiLevelType w:val="singleLevel"/>
    <w:tmpl w:val="A72A9D1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337F4ED0"/>
    <w:multiLevelType w:val="singleLevel"/>
    <w:tmpl w:val="4052056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33F61620"/>
    <w:multiLevelType w:val="singleLevel"/>
    <w:tmpl w:val="2124A35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3A7B3406"/>
    <w:multiLevelType w:val="singleLevel"/>
    <w:tmpl w:val="55C86C9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3CC50617"/>
    <w:multiLevelType w:val="singleLevel"/>
    <w:tmpl w:val="5C06A97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3F0C62CC"/>
    <w:multiLevelType w:val="singleLevel"/>
    <w:tmpl w:val="846249A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3F5848C9"/>
    <w:multiLevelType w:val="singleLevel"/>
    <w:tmpl w:val="89C25224"/>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3FB415B8"/>
    <w:multiLevelType w:val="singleLevel"/>
    <w:tmpl w:val="07B8683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406778CC"/>
    <w:multiLevelType w:val="singleLevel"/>
    <w:tmpl w:val="4E4E94E2"/>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40A12622"/>
    <w:multiLevelType w:val="singleLevel"/>
    <w:tmpl w:val="9A44ABE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41BE4DF6"/>
    <w:multiLevelType w:val="singleLevel"/>
    <w:tmpl w:val="86DE5DE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42532BE9"/>
    <w:multiLevelType w:val="singleLevel"/>
    <w:tmpl w:val="ED6CF46A"/>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452018F9"/>
    <w:multiLevelType w:val="singleLevel"/>
    <w:tmpl w:val="E12623D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452F6754"/>
    <w:multiLevelType w:val="singleLevel"/>
    <w:tmpl w:val="6660E08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46AA24DB"/>
    <w:multiLevelType w:val="singleLevel"/>
    <w:tmpl w:val="B5F40990"/>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46B41B47"/>
    <w:multiLevelType w:val="singleLevel"/>
    <w:tmpl w:val="E126EA00"/>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47913B85"/>
    <w:multiLevelType w:val="singleLevel"/>
    <w:tmpl w:val="5C4AEDDE"/>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4A8637CA"/>
    <w:multiLevelType w:val="singleLevel"/>
    <w:tmpl w:val="FC7CB818"/>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4B331579"/>
    <w:multiLevelType w:val="singleLevel"/>
    <w:tmpl w:val="2ABA7DEE"/>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4DF03D02"/>
    <w:multiLevelType w:val="singleLevel"/>
    <w:tmpl w:val="DA7E9EE4"/>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4E123BF6"/>
    <w:multiLevelType w:val="singleLevel"/>
    <w:tmpl w:val="48CC1D68"/>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4F7C170C"/>
    <w:multiLevelType w:val="singleLevel"/>
    <w:tmpl w:val="7182F336"/>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535F1880"/>
    <w:multiLevelType w:val="singleLevel"/>
    <w:tmpl w:val="CC8A4E8A"/>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539C5694"/>
    <w:multiLevelType w:val="singleLevel"/>
    <w:tmpl w:val="3EDC08FC"/>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55DB68AF"/>
    <w:multiLevelType w:val="singleLevel"/>
    <w:tmpl w:val="4C1AD348"/>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5B4B0DD9"/>
    <w:multiLevelType w:val="singleLevel"/>
    <w:tmpl w:val="2AC41A74"/>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5C8068FD"/>
    <w:multiLevelType w:val="singleLevel"/>
    <w:tmpl w:val="10B65D0E"/>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5CFF6192"/>
    <w:multiLevelType w:val="singleLevel"/>
    <w:tmpl w:val="E068940C"/>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5DE737E7"/>
    <w:multiLevelType w:val="singleLevel"/>
    <w:tmpl w:val="DF3CC27A"/>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5ECA413E"/>
    <w:multiLevelType w:val="singleLevel"/>
    <w:tmpl w:val="019E7816"/>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5F9F2B8F"/>
    <w:multiLevelType w:val="singleLevel"/>
    <w:tmpl w:val="11040F70"/>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62C44F63"/>
    <w:multiLevelType w:val="singleLevel"/>
    <w:tmpl w:val="175A2FAE"/>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65646F7D"/>
    <w:multiLevelType w:val="singleLevel"/>
    <w:tmpl w:val="F7D422EC"/>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65DA289D"/>
    <w:multiLevelType w:val="singleLevel"/>
    <w:tmpl w:val="73B43E9E"/>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65DE3D01"/>
    <w:multiLevelType w:val="singleLevel"/>
    <w:tmpl w:val="B5A6267E"/>
    <w:lvl w:ilvl="0">
      <w:start w:val="1"/>
      <w:numFmt w:val="bullet"/>
      <w:lvlText w:val=""/>
      <w:lvlJc w:val="left"/>
      <w:pPr>
        <w:tabs>
          <w:tab w:val="num" w:pos="200"/>
        </w:tabs>
        <w:ind w:left="200" w:hanging="200"/>
      </w:pPr>
      <w:rPr>
        <w:rFonts w:ascii="Wingdings" w:hAnsi="Wingdings" w:hint="default"/>
        <w:sz w:val="16"/>
      </w:rPr>
    </w:lvl>
  </w:abstractNum>
  <w:abstractNum w:abstractNumId="84" w15:restartNumberingAfterBreak="0">
    <w:nsid w:val="6D913169"/>
    <w:multiLevelType w:val="singleLevel"/>
    <w:tmpl w:val="3968A77C"/>
    <w:lvl w:ilvl="0">
      <w:start w:val="1"/>
      <w:numFmt w:val="bullet"/>
      <w:lvlText w:val=""/>
      <w:lvlJc w:val="left"/>
      <w:pPr>
        <w:tabs>
          <w:tab w:val="num" w:pos="200"/>
        </w:tabs>
        <w:ind w:left="200" w:hanging="200"/>
      </w:pPr>
      <w:rPr>
        <w:rFonts w:ascii="Wingdings" w:hAnsi="Wingdings" w:hint="default"/>
        <w:sz w:val="16"/>
      </w:rPr>
    </w:lvl>
  </w:abstractNum>
  <w:abstractNum w:abstractNumId="85" w15:restartNumberingAfterBreak="0">
    <w:nsid w:val="71773E43"/>
    <w:multiLevelType w:val="singleLevel"/>
    <w:tmpl w:val="7A8CD224"/>
    <w:lvl w:ilvl="0">
      <w:start w:val="1"/>
      <w:numFmt w:val="bullet"/>
      <w:lvlText w:val=""/>
      <w:lvlJc w:val="left"/>
      <w:pPr>
        <w:tabs>
          <w:tab w:val="num" w:pos="200"/>
        </w:tabs>
        <w:ind w:left="200" w:hanging="200"/>
      </w:pPr>
      <w:rPr>
        <w:rFonts w:ascii="Wingdings" w:hAnsi="Wingdings" w:hint="default"/>
        <w:sz w:val="16"/>
      </w:rPr>
    </w:lvl>
  </w:abstractNum>
  <w:abstractNum w:abstractNumId="86" w15:restartNumberingAfterBreak="0">
    <w:nsid w:val="71D41411"/>
    <w:multiLevelType w:val="singleLevel"/>
    <w:tmpl w:val="2C56401E"/>
    <w:lvl w:ilvl="0">
      <w:start w:val="1"/>
      <w:numFmt w:val="bullet"/>
      <w:lvlText w:val=""/>
      <w:lvlJc w:val="left"/>
      <w:pPr>
        <w:tabs>
          <w:tab w:val="num" w:pos="200"/>
        </w:tabs>
        <w:ind w:left="200" w:hanging="200"/>
      </w:pPr>
      <w:rPr>
        <w:rFonts w:ascii="Wingdings" w:hAnsi="Wingdings" w:hint="default"/>
        <w:sz w:val="16"/>
      </w:rPr>
    </w:lvl>
  </w:abstractNum>
  <w:abstractNum w:abstractNumId="87" w15:restartNumberingAfterBreak="0">
    <w:nsid w:val="71F93FE7"/>
    <w:multiLevelType w:val="singleLevel"/>
    <w:tmpl w:val="48E49FF6"/>
    <w:lvl w:ilvl="0">
      <w:start w:val="1"/>
      <w:numFmt w:val="bullet"/>
      <w:lvlText w:val=""/>
      <w:lvlJc w:val="left"/>
      <w:pPr>
        <w:tabs>
          <w:tab w:val="num" w:pos="200"/>
        </w:tabs>
        <w:ind w:left="200" w:hanging="200"/>
      </w:pPr>
      <w:rPr>
        <w:rFonts w:ascii="Wingdings" w:hAnsi="Wingdings" w:hint="default"/>
        <w:sz w:val="16"/>
      </w:rPr>
    </w:lvl>
  </w:abstractNum>
  <w:abstractNum w:abstractNumId="88" w15:restartNumberingAfterBreak="0">
    <w:nsid w:val="72184DAA"/>
    <w:multiLevelType w:val="singleLevel"/>
    <w:tmpl w:val="A29A8C48"/>
    <w:lvl w:ilvl="0">
      <w:start w:val="1"/>
      <w:numFmt w:val="bullet"/>
      <w:lvlText w:val=""/>
      <w:lvlJc w:val="left"/>
      <w:pPr>
        <w:tabs>
          <w:tab w:val="num" w:pos="200"/>
        </w:tabs>
        <w:ind w:left="200" w:hanging="200"/>
      </w:pPr>
      <w:rPr>
        <w:rFonts w:ascii="Wingdings" w:hAnsi="Wingdings" w:hint="default"/>
        <w:sz w:val="16"/>
      </w:rPr>
    </w:lvl>
  </w:abstractNum>
  <w:abstractNum w:abstractNumId="89" w15:restartNumberingAfterBreak="0">
    <w:nsid w:val="77CB6E5B"/>
    <w:multiLevelType w:val="singleLevel"/>
    <w:tmpl w:val="749C1CAE"/>
    <w:lvl w:ilvl="0">
      <w:start w:val="1"/>
      <w:numFmt w:val="bullet"/>
      <w:lvlText w:val=""/>
      <w:lvlJc w:val="left"/>
      <w:pPr>
        <w:tabs>
          <w:tab w:val="num" w:pos="200"/>
        </w:tabs>
        <w:ind w:left="200" w:hanging="200"/>
      </w:pPr>
      <w:rPr>
        <w:rFonts w:ascii="Wingdings" w:hAnsi="Wingdings" w:hint="default"/>
        <w:sz w:val="16"/>
      </w:rPr>
    </w:lvl>
  </w:abstractNum>
  <w:abstractNum w:abstractNumId="90" w15:restartNumberingAfterBreak="0">
    <w:nsid w:val="7BCB6101"/>
    <w:multiLevelType w:val="singleLevel"/>
    <w:tmpl w:val="BFA6D8A0"/>
    <w:lvl w:ilvl="0">
      <w:start w:val="1"/>
      <w:numFmt w:val="bullet"/>
      <w:lvlText w:val=""/>
      <w:lvlJc w:val="left"/>
      <w:pPr>
        <w:tabs>
          <w:tab w:val="num" w:pos="200"/>
        </w:tabs>
        <w:ind w:left="200" w:hanging="200"/>
      </w:pPr>
      <w:rPr>
        <w:rFonts w:ascii="Wingdings" w:hAnsi="Wingdings" w:hint="default"/>
        <w:sz w:val="16"/>
      </w:rPr>
    </w:lvl>
  </w:abstractNum>
  <w:abstractNum w:abstractNumId="91" w15:restartNumberingAfterBreak="0">
    <w:nsid w:val="7C13308D"/>
    <w:multiLevelType w:val="singleLevel"/>
    <w:tmpl w:val="7BB2FBBE"/>
    <w:lvl w:ilvl="0">
      <w:start w:val="1"/>
      <w:numFmt w:val="bullet"/>
      <w:lvlText w:val=""/>
      <w:lvlJc w:val="left"/>
      <w:pPr>
        <w:tabs>
          <w:tab w:val="num" w:pos="200"/>
        </w:tabs>
        <w:ind w:left="200" w:hanging="200"/>
      </w:pPr>
      <w:rPr>
        <w:rFonts w:ascii="Wingdings" w:hAnsi="Wingdings" w:hint="default"/>
        <w:sz w:val="16"/>
      </w:rPr>
    </w:lvl>
  </w:abstractNum>
  <w:abstractNum w:abstractNumId="92" w15:restartNumberingAfterBreak="0">
    <w:nsid w:val="7D243093"/>
    <w:multiLevelType w:val="singleLevel"/>
    <w:tmpl w:val="32DEF64A"/>
    <w:lvl w:ilvl="0">
      <w:start w:val="1"/>
      <w:numFmt w:val="bullet"/>
      <w:lvlText w:val=""/>
      <w:lvlJc w:val="left"/>
      <w:pPr>
        <w:tabs>
          <w:tab w:val="num" w:pos="200"/>
        </w:tabs>
        <w:ind w:left="200" w:hanging="200"/>
      </w:pPr>
      <w:rPr>
        <w:rFonts w:ascii="Wingdings" w:hAnsi="Wingdings" w:hint="default"/>
        <w:sz w:val="16"/>
      </w:rPr>
    </w:lvl>
  </w:abstractNum>
  <w:abstractNum w:abstractNumId="93" w15:restartNumberingAfterBreak="0">
    <w:nsid w:val="7D6E4AC2"/>
    <w:multiLevelType w:val="singleLevel"/>
    <w:tmpl w:val="A5402CD8"/>
    <w:lvl w:ilvl="0">
      <w:start w:val="1"/>
      <w:numFmt w:val="bullet"/>
      <w:lvlText w:val=""/>
      <w:lvlJc w:val="left"/>
      <w:pPr>
        <w:tabs>
          <w:tab w:val="num" w:pos="200"/>
        </w:tabs>
        <w:ind w:left="200" w:hanging="200"/>
      </w:pPr>
      <w:rPr>
        <w:rFonts w:ascii="Wingdings" w:hAnsi="Wingdings" w:hint="default"/>
        <w:sz w:val="16"/>
      </w:rPr>
    </w:lvl>
  </w:abstractNum>
  <w:abstractNum w:abstractNumId="94" w15:restartNumberingAfterBreak="0">
    <w:nsid w:val="7F065CFE"/>
    <w:multiLevelType w:val="singleLevel"/>
    <w:tmpl w:val="86DE5DE4"/>
    <w:lvl w:ilvl="0">
      <w:start w:val="1"/>
      <w:numFmt w:val="bullet"/>
      <w:lvlText w:val=""/>
      <w:lvlJc w:val="left"/>
      <w:pPr>
        <w:tabs>
          <w:tab w:val="num" w:pos="200"/>
        </w:tabs>
        <w:ind w:left="200" w:hanging="200"/>
      </w:pPr>
      <w:rPr>
        <w:rFonts w:ascii="Wingdings" w:hAnsi="Wingdings" w:hint="default"/>
        <w:sz w:val="16"/>
      </w:rPr>
    </w:lvl>
  </w:abstractNum>
  <w:num w:numId="1">
    <w:abstractNumId w:val="36"/>
  </w:num>
  <w:num w:numId="2">
    <w:abstractNumId w:val="58"/>
  </w:num>
  <w:num w:numId="3">
    <w:abstractNumId w:val="56"/>
  </w:num>
  <w:num w:numId="4">
    <w:abstractNumId w:val="76"/>
  </w:num>
  <w:num w:numId="5">
    <w:abstractNumId w:val="27"/>
  </w:num>
  <w:num w:numId="6">
    <w:abstractNumId w:val="13"/>
  </w:num>
  <w:num w:numId="7">
    <w:abstractNumId w:val="5"/>
  </w:num>
  <w:num w:numId="8">
    <w:abstractNumId w:val="1"/>
  </w:num>
  <w:num w:numId="9">
    <w:abstractNumId w:val="85"/>
  </w:num>
  <w:num w:numId="10">
    <w:abstractNumId w:val="37"/>
  </w:num>
  <w:num w:numId="11">
    <w:abstractNumId w:val="80"/>
  </w:num>
  <w:num w:numId="12">
    <w:abstractNumId w:val="55"/>
  </w:num>
  <w:num w:numId="13">
    <w:abstractNumId w:val="68"/>
  </w:num>
  <w:num w:numId="14">
    <w:abstractNumId w:val="31"/>
  </w:num>
  <w:num w:numId="15">
    <w:abstractNumId w:val="92"/>
  </w:num>
  <w:num w:numId="16">
    <w:abstractNumId w:val="28"/>
  </w:num>
  <w:num w:numId="17">
    <w:abstractNumId w:val="17"/>
  </w:num>
  <w:num w:numId="18">
    <w:abstractNumId w:val="51"/>
  </w:num>
  <w:num w:numId="19">
    <w:abstractNumId w:val="48"/>
  </w:num>
  <w:num w:numId="20">
    <w:abstractNumId w:val="45"/>
  </w:num>
  <w:num w:numId="21">
    <w:abstractNumId w:val="47"/>
  </w:num>
  <w:num w:numId="22">
    <w:abstractNumId w:val="74"/>
  </w:num>
  <w:num w:numId="23">
    <w:abstractNumId w:val="10"/>
  </w:num>
  <w:num w:numId="24">
    <w:abstractNumId w:val="46"/>
  </w:num>
  <w:num w:numId="25">
    <w:abstractNumId w:val="77"/>
  </w:num>
  <w:num w:numId="26">
    <w:abstractNumId w:val="49"/>
  </w:num>
  <w:num w:numId="27">
    <w:abstractNumId w:val="57"/>
  </w:num>
  <w:num w:numId="28">
    <w:abstractNumId w:val="7"/>
  </w:num>
  <w:num w:numId="29">
    <w:abstractNumId w:val="61"/>
  </w:num>
  <w:num w:numId="30">
    <w:abstractNumId w:val="44"/>
  </w:num>
  <w:num w:numId="31">
    <w:abstractNumId w:val="84"/>
  </w:num>
  <w:num w:numId="32">
    <w:abstractNumId w:val="75"/>
  </w:num>
  <w:num w:numId="33">
    <w:abstractNumId w:val="29"/>
  </w:num>
  <w:num w:numId="34">
    <w:abstractNumId w:val="26"/>
  </w:num>
  <w:num w:numId="35">
    <w:abstractNumId w:val="89"/>
  </w:num>
  <w:num w:numId="36">
    <w:abstractNumId w:val="64"/>
  </w:num>
  <w:num w:numId="37">
    <w:abstractNumId w:val="78"/>
  </w:num>
  <w:num w:numId="38">
    <w:abstractNumId w:val="60"/>
  </w:num>
  <w:num w:numId="39">
    <w:abstractNumId w:val="21"/>
  </w:num>
  <w:num w:numId="40">
    <w:abstractNumId w:val="42"/>
  </w:num>
  <w:num w:numId="41">
    <w:abstractNumId w:val="41"/>
  </w:num>
  <w:num w:numId="42">
    <w:abstractNumId w:val="91"/>
  </w:num>
  <w:num w:numId="43">
    <w:abstractNumId w:val="30"/>
  </w:num>
  <w:num w:numId="44">
    <w:abstractNumId w:val="88"/>
  </w:num>
  <w:num w:numId="45">
    <w:abstractNumId w:val="9"/>
  </w:num>
  <w:num w:numId="46">
    <w:abstractNumId w:val="24"/>
  </w:num>
  <w:num w:numId="47">
    <w:abstractNumId w:val="72"/>
  </w:num>
  <w:num w:numId="48">
    <w:abstractNumId w:val="6"/>
  </w:num>
  <w:num w:numId="49">
    <w:abstractNumId w:val="86"/>
  </w:num>
  <w:num w:numId="50">
    <w:abstractNumId w:val="22"/>
  </w:num>
  <w:num w:numId="51">
    <w:abstractNumId w:val="3"/>
  </w:num>
  <w:num w:numId="52">
    <w:abstractNumId w:val="70"/>
  </w:num>
  <w:num w:numId="53">
    <w:abstractNumId w:val="90"/>
  </w:num>
  <w:num w:numId="54">
    <w:abstractNumId w:val="11"/>
  </w:num>
  <w:num w:numId="55">
    <w:abstractNumId w:val="38"/>
  </w:num>
  <w:num w:numId="56">
    <w:abstractNumId w:val="34"/>
  </w:num>
  <w:num w:numId="57">
    <w:abstractNumId w:val="79"/>
  </w:num>
  <w:num w:numId="58">
    <w:abstractNumId w:val="63"/>
  </w:num>
  <w:num w:numId="59">
    <w:abstractNumId w:val="14"/>
  </w:num>
  <w:num w:numId="60">
    <w:abstractNumId w:val="4"/>
  </w:num>
  <w:num w:numId="61">
    <w:abstractNumId w:val="35"/>
  </w:num>
  <w:num w:numId="62">
    <w:abstractNumId w:val="66"/>
  </w:num>
  <w:num w:numId="63">
    <w:abstractNumId w:val="12"/>
  </w:num>
  <w:num w:numId="64">
    <w:abstractNumId w:val="71"/>
  </w:num>
  <w:num w:numId="65">
    <w:abstractNumId w:val="50"/>
  </w:num>
  <w:num w:numId="66">
    <w:abstractNumId w:val="82"/>
  </w:num>
  <w:num w:numId="67">
    <w:abstractNumId w:val="54"/>
  </w:num>
  <w:num w:numId="68">
    <w:abstractNumId w:val="23"/>
  </w:num>
  <w:num w:numId="69">
    <w:abstractNumId w:val="18"/>
  </w:num>
  <w:num w:numId="70">
    <w:abstractNumId w:val="15"/>
  </w:num>
  <w:num w:numId="71">
    <w:abstractNumId w:val="32"/>
  </w:num>
  <w:num w:numId="72">
    <w:abstractNumId w:val="65"/>
  </w:num>
  <w:num w:numId="73">
    <w:abstractNumId w:val="8"/>
  </w:num>
  <w:num w:numId="74">
    <w:abstractNumId w:val="87"/>
  </w:num>
  <w:num w:numId="75">
    <w:abstractNumId w:val="33"/>
  </w:num>
  <w:num w:numId="76">
    <w:abstractNumId w:val="39"/>
  </w:num>
  <w:num w:numId="77">
    <w:abstractNumId w:val="25"/>
  </w:num>
  <w:num w:numId="78">
    <w:abstractNumId w:val="69"/>
  </w:num>
  <w:num w:numId="79">
    <w:abstractNumId w:val="52"/>
  </w:num>
  <w:num w:numId="80">
    <w:abstractNumId w:val="43"/>
  </w:num>
  <w:num w:numId="81">
    <w:abstractNumId w:val="81"/>
  </w:num>
  <w:num w:numId="82">
    <w:abstractNumId w:val="19"/>
  </w:num>
  <w:num w:numId="83">
    <w:abstractNumId w:val="0"/>
  </w:num>
  <w:num w:numId="84">
    <w:abstractNumId w:val="62"/>
  </w:num>
  <w:num w:numId="85">
    <w:abstractNumId w:val="53"/>
  </w:num>
  <w:num w:numId="86">
    <w:abstractNumId w:val="2"/>
  </w:num>
  <w:num w:numId="87">
    <w:abstractNumId w:val="67"/>
  </w:num>
  <w:num w:numId="88">
    <w:abstractNumId w:val="73"/>
  </w:num>
  <w:num w:numId="89">
    <w:abstractNumId w:val="93"/>
  </w:num>
  <w:num w:numId="90">
    <w:abstractNumId w:val="83"/>
  </w:num>
  <w:num w:numId="91">
    <w:abstractNumId w:val="20"/>
  </w:num>
  <w:num w:numId="92">
    <w:abstractNumId w:val="40"/>
  </w:num>
  <w:num w:numId="93">
    <w:abstractNumId w:val="16"/>
  </w:num>
  <w:num w:numId="94">
    <w:abstractNumId w:val="94"/>
  </w:num>
  <w:num w:numId="95">
    <w:abstractNumId w:val="59"/>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72BE0"/>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72BE0"/>
    <w:pPr>
      <w:spacing w:after="120"/>
    </w:pPr>
  </w:style>
  <w:style w:type="character" w:customStyle="1" w:styleId="af6">
    <w:name w:val="正文文本 字符"/>
    <w:basedOn w:val="a0"/>
    <w:link w:val="af5"/>
    <w:uiPriority w:val="99"/>
    <w:rsid w:val="00672BE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B9E75-A3AE-4AB9-A7C6-5401F986D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629</Words>
  <Characters>3586</Characters>
  <Application>Microsoft Office Word</Application>
  <DocSecurity>0</DocSecurity>
  <Lines>29</Lines>
  <Paragraphs>8</Paragraphs>
  <ScaleCrop>false</ScaleCrop>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2026-06-19T04:33:00Z</dcterms:created>
  <dcterms:modified xsi:type="dcterms:W3CDTF">2026-06-19T04:33:00Z</dcterms:modified>
</cp:coreProperties>
</file>