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2F840C" w:rsidR="0049405C" w:rsidRPr="00187BAA" w:rsidRDefault="008D28F4" w:rsidP="008D28F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D28F4">
              <w:rPr>
                <w:rFonts w:ascii="宋体" w:eastAsia="宋体" w:hAnsi="Times New Roman" w:hint="eastAsia"/>
                <w:b/>
                <w:color w:val="000000"/>
                <w:sz w:val="48"/>
              </w:rPr>
              <w:t>许馨月</w:t>
            </w:r>
            <w:bookmarkEnd w:id="0"/>
          </w:p>
          <w:p w14:paraId="706EB16B" w14:textId="4CE99301" w:rsidR="0049405C" w:rsidRPr="00187BAA" w:rsidRDefault="008D28F4" w:rsidP="008D28F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D28F4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37B9749E" w:rsidR="0049405C" w:rsidRPr="00187BAA" w:rsidRDefault="008D28F4" w:rsidP="008D28F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D28F4">
              <w:rPr>
                <w:rFonts w:ascii="宋体" w:eastAsia="宋体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60BB9069" w:rsidR="0049405C" w:rsidRPr="00187BAA" w:rsidRDefault="008D28F4" w:rsidP="008D28F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D28F4">
              <w:rPr>
                <w:rFonts w:ascii="宋体" w:eastAsia="宋体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A2E1334" w:rsidR="0049405C" w:rsidRPr="00187BAA" w:rsidRDefault="008D28F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4A37867" wp14:editId="2290F5A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6A00322" w:rsidR="009465FB" w:rsidRPr="00187BAA" w:rsidRDefault="008D28F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D28F4">
              <w:rPr>
                <w:rFonts w:ascii="宋体" w:eastAsia="宋体" w:hAnsi="Times New Roman" w:hint="eastAsia"/>
                <w:color w:val="000000"/>
                <w:szCs w:val="21"/>
              </w:rPr>
              <w:t>许馨月律师主要执业领域为跨境收购与兼并、外商直接投资、海外投资和公司一般法律事务。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22ED531" w14:textId="77777777" w:rsidR="008D28F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87AC285" w14:textId="77777777" w:rsidR="008D28F4" w:rsidRDefault="008D28F4" w:rsidP="008D28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D28F4">
        <w:rPr>
          <w:rFonts w:ascii="宋体" w:eastAsia="宋体" w:hAnsi="宋体" w:hint="eastAsia"/>
          <w:b/>
          <w:sz w:val="24"/>
        </w:rPr>
        <w:t>近期代理的主要案件</w:t>
      </w:r>
    </w:p>
    <w:p w14:paraId="1D541B93" w14:textId="77777777" w:rsidR="008D28F4" w:rsidRDefault="008D28F4" w:rsidP="008D28F4">
      <w:pPr>
        <w:pStyle w:val="af5"/>
        <w:spacing w:before="12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代表性并购和重组交易</w:t>
      </w:r>
    </w:p>
    <w:p w14:paraId="592D8C98" w14:textId="77777777" w:rsidR="008D28F4" w:rsidRDefault="008D28F4" w:rsidP="008D28F4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代表英孚教育出售其全球少儿英语项目多数股权；</w:t>
      </w:r>
    </w:p>
    <w:p w14:paraId="6E6270A4" w14:textId="77777777" w:rsidR="008D28F4" w:rsidRDefault="008D28F4" w:rsidP="008D28F4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代表上海海立集团收购汽车零件公司马瑞利全球</w:t>
      </w:r>
      <w:r w:rsidRPr="008D28F4">
        <w:rPr>
          <w:rFonts w:ascii="宋体" w:eastAsia="宋体" w:hAnsi="Times New Roman"/>
          <w:color w:val="000000"/>
        </w:rPr>
        <w:t>HVAC业务多数股权；</w:t>
      </w:r>
    </w:p>
    <w:p w14:paraId="020FD278" w14:textId="77777777" w:rsidR="008D28F4" w:rsidRDefault="008D28F4" w:rsidP="008D28F4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代表欧洲基金</w:t>
      </w:r>
      <w:r w:rsidRPr="008D28F4">
        <w:rPr>
          <w:rFonts w:ascii="宋体" w:eastAsia="宋体" w:hAnsi="Times New Roman"/>
          <w:color w:val="000000"/>
        </w:rPr>
        <w:t>Partners Group收购全球物流服务提供商Apex Logistics的24.9%的股权；</w:t>
      </w:r>
    </w:p>
    <w:p w14:paraId="620C14ED" w14:textId="77777777" w:rsidR="008D28F4" w:rsidRDefault="008D28F4" w:rsidP="008D28F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代表欧洲基金</w:t>
      </w:r>
      <w:r w:rsidRPr="008D28F4">
        <w:rPr>
          <w:rFonts w:ascii="宋体" w:eastAsia="宋体" w:hAnsi="Times New Roman"/>
          <w:color w:val="000000"/>
        </w:rPr>
        <w:t>Partners Group收购零售展示设备供应商BCR（邦全）多数股权以及其附加收购；</w:t>
      </w:r>
    </w:p>
    <w:p w14:paraId="3B7D36CE" w14:textId="77777777" w:rsidR="008D28F4" w:rsidRDefault="008D28F4" w:rsidP="008D28F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代表美元基金</w:t>
      </w:r>
      <w:r w:rsidRPr="008D28F4">
        <w:rPr>
          <w:rFonts w:ascii="宋体" w:eastAsia="宋体" w:hAnsi="Times New Roman"/>
          <w:color w:val="000000"/>
        </w:rPr>
        <w:t>C-Bridge参与对武田部分医药类资产的收购；</w:t>
      </w:r>
    </w:p>
    <w:p w14:paraId="75276F95" w14:textId="77777777" w:rsidR="008D28F4" w:rsidRDefault="008D28F4" w:rsidP="008D28F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代表霍尼韦尔交通和智能家居资产的剥离项目，其中包括其投资性公司以及子公司的分立；</w:t>
      </w:r>
    </w:p>
    <w:p w14:paraId="737891C3" w14:textId="77777777" w:rsidR="008D28F4" w:rsidRDefault="008D28F4" w:rsidP="008D28F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</w:t>
      </w:r>
      <w:r w:rsidRPr="008D28F4">
        <w:rPr>
          <w:rFonts w:ascii="宋体" w:eastAsia="宋体" w:hAnsi="Times New Roman"/>
          <w:color w:val="000000"/>
        </w:rPr>
        <w:t>ABB的电网业务重组项目以及中国控股公司分立；</w:t>
      </w:r>
    </w:p>
    <w:p w14:paraId="126335AD" w14:textId="77777777" w:rsidR="008D28F4" w:rsidRDefault="008D28F4" w:rsidP="008D28F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代表正心谷和松禾基金参与昂纳半导体港股私有化项目；</w:t>
      </w:r>
    </w:p>
    <w:p w14:paraId="1D2E08F1" w14:textId="77777777" w:rsidR="008D28F4" w:rsidRDefault="008D28F4" w:rsidP="008D28F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代表阿里巴巴收购联华超市股份有限公司股份；</w:t>
      </w:r>
    </w:p>
    <w:p w14:paraId="12EB432B" w14:textId="77777777" w:rsidR="008D28F4" w:rsidRDefault="008D28F4" w:rsidP="008D28F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</w:t>
      </w:r>
      <w:r w:rsidRPr="008D28F4">
        <w:rPr>
          <w:rFonts w:ascii="宋体" w:eastAsia="宋体" w:hAnsi="Times New Roman"/>
          <w:color w:val="000000"/>
        </w:rPr>
        <w:t>51Job对拉勾网的收购；</w:t>
      </w:r>
    </w:p>
    <w:p w14:paraId="3EAE2D89" w14:textId="77777777" w:rsidR="008D28F4" w:rsidRDefault="008D28F4" w:rsidP="008D28F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代表欧洲基金</w:t>
      </w:r>
      <w:r w:rsidRPr="008D28F4">
        <w:rPr>
          <w:rFonts w:ascii="宋体" w:eastAsia="宋体" w:hAnsi="Times New Roman"/>
          <w:color w:val="000000"/>
        </w:rPr>
        <w:t>Axcel下属企业对山东某机械企业的收购；</w:t>
      </w:r>
    </w:p>
    <w:p w14:paraId="42C6716E" w14:textId="77777777" w:rsidR="008D28F4" w:rsidRDefault="008D28F4" w:rsidP="008D28F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代表微创医疗对以色列企业</w:t>
      </w:r>
      <w:r w:rsidRPr="008D28F4">
        <w:rPr>
          <w:rFonts w:ascii="宋体" w:eastAsia="宋体" w:hAnsi="Times New Roman"/>
          <w:color w:val="000000"/>
        </w:rPr>
        <w:t>Rapid的投资；</w:t>
      </w:r>
    </w:p>
    <w:p w14:paraId="4157FEEA" w14:textId="77777777" w:rsidR="008D28F4" w:rsidRDefault="008D28F4" w:rsidP="008D28F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代表光明食品斥资约人民币</w:t>
      </w:r>
      <w:r w:rsidRPr="008D28F4">
        <w:rPr>
          <w:rFonts w:ascii="宋体" w:eastAsia="宋体" w:hAnsi="Times New Roman"/>
          <w:color w:val="000000"/>
        </w:rPr>
        <w:t>60 亿元收购以色列最大食品集团Tnuva的控股股权以及与小股东的股东协议的谈判；</w:t>
      </w:r>
    </w:p>
    <w:p w14:paraId="6B1A501E" w14:textId="77777777" w:rsidR="008D28F4" w:rsidRDefault="008D28F4" w:rsidP="008D28F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代表株洲时代电气（中车子公司）收购英国水下机器人</w:t>
      </w:r>
      <w:r w:rsidRPr="008D28F4">
        <w:rPr>
          <w:rFonts w:ascii="宋体" w:eastAsia="宋体" w:hAnsi="Times New Roman"/>
          <w:color w:val="000000"/>
        </w:rPr>
        <w:t>SMD 公司100%股权；</w:t>
      </w:r>
    </w:p>
    <w:p w14:paraId="74799DCE" w14:textId="77777777" w:rsidR="008D28F4" w:rsidRDefault="008D28F4" w:rsidP="008D28F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代表株洲时代新材（中车子公司）收购德国汽车部件生产商采埃孚的金属橡胶业务，这项交易涉及多个国家的股权和资产交易，是第一家</w:t>
      </w:r>
      <w:r w:rsidRPr="008D28F4">
        <w:rPr>
          <w:rFonts w:ascii="宋体" w:eastAsia="宋体" w:hAnsi="Times New Roman"/>
          <w:color w:val="000000"/>
        </w:rPr>
        <w:t>A 股上市公司海外并购且构成重大资产重组的交易；</w:t>
      </w:r>
    </w:p>
    <w:p w14:paraId="62E9B87B" w14:textId="77777777" w:rsidR="008D28F4" w:rsidRDefault="008D28F4" w:rsidP="008D28F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代表飞乐音响收购喜万年集团</w:t>
      </w:r>
      <w:r w:rsidRPr="008D28F4">
        <w:rPr>
          <w:rFonts w:ascii="宋体" w:eastAsia="宋体" w:hAnsi="Times New Roman"/>
          <w:color w:val="000000"/>
        </w:rPr>
        <w:t>80%股权以及与小股东的股东协议的谈判，该公司在全球有超过50 家子公司；</w:t>
      </w:r>
    </w:p>
    <w:p w14:paraId="42AD20EA" w14:textId="77777777" w:rsidR="008D28F4" w:rsidRDefault="008D28F4" w:rsidP="008D28F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代表惠普出售其杭州的一家子公司</w:t>
      </w:r>
      <w:r w:rsidRPr="008D28F4">
        <w:rPr>
          <w:rFonts w:ascii="宋体" w:eastAsia="宋体" w:hAnsi="Times New Roman"/>
          <w:color w:val="000000"/>
        </w:rPr>
        <w:t>H3C，该公司为国内领先监控产品制造商；以及</w:t>
      </w:r>
    </w:p>
    <w:p w14:paraId="6E3E5497" w14:textId="77777777" w:rsidR="008D28F4" w:rsidRDefault="008D28F4" w:rsidP="008D28F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代表远东宏信香港证券交易所上市项目保荐人。</w:t>
      </w:r>
    </w:p>
    <w:p w14:paraId="0AB04661" w14:textId="77777777" w:rsidR="008D28F4" w:rsidRDefault="008D28F4" w:rsidP="008D28F4">
      <w:pPr>
        <w:pStyle w:val="af5"/>
        <w:spacing w:before="12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代表性少数股权投资项目</w:t>
      </w:r>
    </w:p>
    <w:p w14:paraId="6C3A4C56" w14:textId="77777777" w:rsidR="008D28F4" w:rsidRDefault="008D28F4" w:rsidP="008D28F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代表蚂蚁金服投资财税企业诺诺</w:t>
      </w:r>
      <w:r w:rsidRPr="008D28F4">
        <w:rPr>
          <w:rFonts w:ascii="宋体" w:eastAsia="宋体" w:hAnsi="Times New Roman"/>
          <w:color w:val="000000"/>
        </w:rPr>
        <w:t>;</w:t>
      </w:r>
    </w:p>
    <w:p w14:paraId="4A0479AA" w14:textId="77777777" w:rsidR="008D28F4" w:rsidRDefault="008D28F4" w:rsidP="008D28F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代表蚂蚁金服投资</w:t>
      </w:r>
      <w:r w:rsidRPr="008D28F4">
        <w:rPr>
          <w:rFonts w:ascii="宋体" w:eastAsia="宋体" w:hAnsi="Times New Roman"/>
          <w:color w:val="000000"/>
        </w:rPr>
        <w:t>EPC发行企业信联科技;</w:t>
      </w:r>
    </w:p>
    <w:p w14:paraId="53A836C1" w14:textId="77777777" w:rsidR="008D28F4" w:rsidRDefault="008D28F4" w:rsidP="008D28F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代表蚂蚁金服投资金融企业中和农信；</w:t>
      </w:r>
    </w:p>
    <w:p w14:paraId="2A5EA86C" w14:textId="77777777" w:rsidR="008D28F4" w:rsidRDefault="008D28F4" w:rsidP="008D28F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代表百威英博对酒类企业贝瑞甜心小股权投资；</w:t>
      </w:r>
    </w:p>
    <w:p w14:paraId="230FE194" w14:textId="77777777" w:rsidR="008D28F4" w:rsidRDefault="008D28F4" w:rsidP="008D28F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</w:t>
      </w:r>
      <w:r w:rsidRPr="008D28F4">
        <w:rPr>
          <w:rFonts w:ascii="宋体" w:eastAsia="宋体" w:hAnsi="Times New Roman"/>
          <w:color w:val="000000"/>
        </w:rPr>
        <w:t>CPE源峰投资食品公司三顿半；</w:t>
      </w:r>
    </w:p>
    <w:p w14:paraId="77B8FC8A" w14:textId="77777777" w:rsidR="008D28F4" w:rsidRDefault="008D28F4" w:rsidP="008D28F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</w:t>
      </w:r>
      <w:r w:rsidRPr="008D28F4">
        <w:rPr>
          <w:rFonts w:ascii="宋体" w:eastAsia="宋体" w:hAnsi="Times New Roman"/>
          <w:color w:val="000000"/>
        </w:rPr>
        <w:t>CPE源峰投资Moody隐形眼镜；</w:t>
      </w:r>
    </w:p>
    <w:p w14:paraId="5E17E838" w14:textId="77777777" w:rsidR="008D28F4" w:rsidRDefault="008D28F4" w:rsidP="008D28F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代表高瓴资本投资芯片类初创企业星思；</w:t>
      </w:r>
    </w:p>
    <w:p w14:paraId="0CE0760E" w14:textId="77777777" w:rsidR="008D28F4" w:rsidRDefault="008D28F4" w:rsidP="008D28F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代表高瓴资本投资芯片类初创企业星云；</w:t>
      </w:r>
    </w:p>
    <w:p w14:paraId="4CC2EC27" w14:textId="77777777" w:rsidR="008D28F4" w:rsidRDefault="008D28F4" w:rsidP="008D28F4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代表高瓴资本投资芯片类初创企业韬润；</w:t>
      </w:r>
    </w:p>
    <w:p w14:paraId="5A90694F" w14:textId="77777777" w:rsidR="008D28F4" w:rsidRDefault="008D28F4" w:rsidP="008D28F4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代表高瓴资本投资芯片类初创企业芯迈；</w:t>
      </w:r>
    </w:p>
    <w:p w14:paraId="588653C9" w14:textId="77777777" w:rsidR="008D28F4" w:rsidRDefault="008D28F4" w:rsidP="008D28F4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代表博裕投资一家化妆品</w:t>
      </w:r>
      <w:r w:rsidRPr="008D28F4">
        <w:rPr>
          <w:rFonts w:ascii="宋体" w:eastAsia="宋体" w:hAnsi="Times New Roman"/>
          <w:color w:val="000000"/>
        </w:rPr>
        <w:t>OEM企业；</w:t>
      </w:r>
    </w:p>
    <w:p w14:paraId="61C2EEC6" w14:textId="77777777" w:rsidR="008D28F4" w:rsidRDefault="008D28F4" w:rsidP="008D28F4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代表博裕投资网易云音乐；以及</w:t>
      </w:r>
    </w:p>
    <w:p w14:paraId="2A868580" w14:textId="77777777" w:rsidR="008D28F4" w:rsidRDefault="008D28F4" w:rsidP="008D28F4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代表微创医疗集团融资项目。</w:t>
      </w:r>
    </w:p>
    <w:p w14:paraId="71513EB3" w14:textId="77777777" w:rsidR="008D28F4" w:rsidRDefault="008D28F4" w:rsidP="008D28F4">
      <w:pPr>
        <w:pStyle w:val="af5"/>
        <w:spacing w:before="12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代表性合资项目</w:t>
      </w:r>
    </w:p>
    <w:p w14:paraId="5DA7755F" w14:textId="77777777" w:rsidR="008D28F4" w:rsidRDefault="008D28F4" w:rsidP="008D28F4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代表医疗器械公司</w:t>
      </w:r>
      <w:r w:rsidRPr="008D28F4">
        <w:rPr>
          <w:rFonts w:ascii="宋体" w:eastAsia="宋体" w:hAnsi="Times New Roman"/>
          <w:color w:val="000000"/>
        </w:rPr>
        <w:t>Ortho与润达成立合资公司；</w:t>
      </w:r>
    </w:p>
    <w:p w14:paraId="546FB665" w14:textId="77777777" w:rsidR="008D28F4" w:rsidRDefault="008D28F4" w:rsidP="008D28F4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代表上海海立集团收购马瑞利全球</w:t>
      </w:r>
      <w:r w:rsidRPr="008D28F4">
        <w:rPr>
          <w:rFonts w:ascii="宋体" w:eastAsia="宋体" w:hAnsi="Times New Roman"/>
          <w:color w:val="000000"/>
        </w:rPr>
        <w:t>HVAC业务并成立合资公司；</w:t>
      </w:r>
    </w:p>
    <w:p w14:paraId="140665A6" w14:textId="77777777" w:rsidR="008D28F4" w:rsidRDefault="008D28F4" w:rsidP="008D28F4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代表上海海立集团与</w:t>
      </w:r>
      <w:r w:rsidRPr="008D28F4">
        <w:rPr>
          <w:rFonts w:ascii="宋体" w:eastAsia="宋体" w:hAnsi="Times New Roman"/>
          <w:color w:val="000000"/>
        </w:rPr>
        <w:t>Voltas在印度成立合资公司；</w:t>
      </w:r>
    </w:p>
    <w:p w14:paraId="60A375CE" w14:textId="77777777" w:rsidR="008D28F4" w:rsidRDefault="008D28F4" w:rsidP="008D28F4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代表海立马瑞利在印度尼西亚成立合资公司；</w:t>
      </w:r>
    </w:p>
    <w:p w14:paraId="6B3C8ACF" w14:textId="77777777" w:rsidR="008D28F4" w:rsidRDefault="008D28F4" w:rsidP="008D28F4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代表屈臣氏旗下百佳超市与永辉、腾讯成立合资公司；</w:t>
      </w:r>
    </w:p>
    <w:p w14:paraId="0D47548D" w14:textId="77777777" w:rsidR="008D28F4" w:rsidRDefault="008D28F4" w:rsidP="008D28F4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代表阿里巴巴与万豪成立合资公司；</w:t>
      </w:r>
    </w:p>
    <w:p w14:paraId="531E33A4" w14:textId="77777777" w:rsidR="008D28F4" w:rsidRDefault="008D28F4" w:rsidP="008D28F4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代表酒店企业同派与携程成立合资公司；</w:t>
      </w:r>
    </w:p>
    <w:p w14:paraId="67B55FCE" w14:textId="77777777" w:rsidR="008D28F4" w:rsidRDefault="008D28F4" w:rsidP="008D28F4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</w:t>
      </w:r>
      <w:r w:rsidRPr="008D28F4">
        <w:rPr>
          <w:rFonts w:ascii="宋体" w:eastAsia="宋体" w:hAnsi="Times New Roman"/>
          <w:color w:val="000000"/>
        </w:rPr>
        <w:t>Vopak在中国成立液化天然气供应站合资项目；</w:t>
      </w:r>
    </w:p>
    <w:p w14:paraId="7FF75964" w14:textId="77777777" w:rsidR="008D28F4" w:rsidRDefault="008D28F4" w:rsidP="008D28F4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代表光明食品与其以色列子公司小股东的股东协议的谈判；</w:t>
      </w:r>
    </w:p>
    <w:p w14:paraId="3DC6A0CD" w14:textId="77777777" w:rsidR="008D28F4" w:rsidRDefault="008D28F4" w:rsidP="008D28F4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代表飞乐音响收购喜万年集团</w:t>
      </w:r>
      <w:r w:rsidRPr="008D28F4">
        <w:rPr>
          <w:rFonts w:ascii="宋体" w:eastAsia="宋体" w:hAnsi="Times New Roman"/>
          <w:color w:val="000000"/>
        </w:rPr>
        <w:t>80%股权以及与小股东的股东协议的谈判；</w:t>
      </w:r>
    </w:p>
    <w:p w14:paraId="3DB211E7" w14:textId="77777777" w:rsidR="008D28F4" w:rsidRDefault="008D28F4" w:rsidP="008D28F4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代表嘉年华集团与中船集团以及中投成立船东合伙企业；</w:t>
      </w:r>
    </w:p>
    <w:p w14:paraId="7E942666" w14:textId="77777777" w:rsidR="008D28F4" w:rsidRDefault="008D28F4" w:rsidP="008D28F4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</w:t>
      </w:r>
      <w:r w:rsidRPr="008D28F4">
        <w:rPr>
          <w:rFonts w:ascii="宋体" w:eastAsia="宋体" w:hAnsi="Times New Roman"/>
          <w:color w:val="000000"/>
        </w:rPr>
        <w:t>Tesco 与华润合资项目，该项目将两家中国领先零售商的业务结合在一起；</w:t>
      </w:r>
    </w:p>
    <w:p w14:paraId="7B5A8464" w14:textId="77777777" w:rsidR="008D28F4" w:rsidRDefault="008D28F4" w:rsidP="008D28F4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代表百事与康师傅战略合作项目；</w:t>
      </w:r>
    </w:p>
    <w:p w14:paraId="76DE8428" w14:textId="77777777" w:rsidR="008D28F4" w:rsidRDefault="008D28F4" w:rsidP="008D28F4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代表俄罗斯铁路和其他五方的“渝新欧”铁路合资项目，合作方包括来自中国、哈萨克斯坦、俄罗斯和德国的国有铁路企业。</w:t>
      </w:r>
    </w:p>
    <w:p w14:paraId="754C3720" w14:textId="77777777" w:rsidR="008D28F4" w:rsidRDefault="008D28F4" w:rsidP="008D28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D28F4">
        <w:rPr>
          <w:rFonts w:ascii="宋体" w:eastAsia="宋体" w:hAnsi="宋体" w:hint="eastAsia"/>
          <w:b/>
          <w:sz w:val="24"/>
        </w:rPr>
        <w:t>教育背景</w:t>
      </w:r>
    </w:p>
    <w:p w14:paraId="48A57A26" w14:textId="77777777" w:rsidR="008D28F4" w:rsidRDefault="008D28F4" w:rsidP="008D28F4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华东政法大学，法学学士，</w:t>
      </w:r>
      <w:r w:rsidRPr="008D28F4">
        <w:rPr>
          <w:rFonts w:ascii="宋体" w:eastAsia="宋体" w:hAnsi="Times New Roman"/>
          <w:color w:val="000000"/>
        </w:rPr>
        <w:t>2010</w:t>
      </w:r>
    </w:p>
    <w:p w14:paraId="7C431A02" w14:textId="77777777" w:rsidR="008D28F4" w:rsidRDefault="008D28F4" w:rsidP="008D28F4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美国哥伦比亚大学，法学硕士，</w:t>
      </w:r>
      <w:r w:rsidRPr="008D28F4">
        <w:rPr>
          <w:rFonts w:ascii="宋体" w:eastAsia="宋体" w:hAnsi="Times New Roman"/>
          <w:color w:val="000000"/>
        </w:rPr>
        <w:t>2013</w:t>
      </w:r>
    </w:p>
    <w:p w14:paraId="207A71FE" w14:textId="77777777" w:rsidR="008D28F4" w:rsidRDefault="008D28F4" w:rsidP="008D28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D28F4">
        <w:rPr>
          <w:rFonts w:ascii="宋体" w:eastAsia="宋体" w:hAnsi="宋体" w:hint="eastAsia"/>
          <w:b/>
          <w:sz w:val="24"/>
        </w:rPr>
        <w:t>执业资格</w:t>
      </w:r>
    </w:p>
    <w:p w14:paraId="29AFE24E" w14:textId="77777777" w:rsidR="008D28F4" w:rsidRDefault="008D28F4" w:rsidP="008D28F4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中华人民共和国执业律师</w:t>
      </w:r>
    </w:p>
    <w:p w14:paraId="45DC9451" w14:textId="77777777" w:rsidR="008D28F4" w:rsidRDefault="008D28F4" w:rsidP="008D28F4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美国纽约州律师资格</w:t>
      </w:r>
    </w:p>
    <w:p w14:paraId="5ACC8893" w14:textId="77777777" w:rsidR="008D28F4" w:rsidRDefault="008D28F4" w:rsidP="008D28F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D28F4">
        <w:rPr>
          <w:rFonts w:ascii="宋体" w:eastAsia="宋体" w:hAnsi="宋体" w:hint="eastAsia"/>
          <w:b/>
          <w:sz w:val="24"/>
        </w:rPr>
        <w:t>职业背景</w:t>
      </w:r>
    </w:p>
    <w:p w14:paraId="4F0A196B" w14:textId="6A7C5AC9" w:rsidR="00A46A04" w:rsidRPr="008D28F4" w:rsidRDefault="008D28F4" w:rsidP="008D28F4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D28F4">
        <w:rPr>
          <w:rFonts w:ascii="宋体" w:eastAsia="宋体" w:hAnsi="Times New Roman" w:hint="eastAsia"/>
          <w:color w:val="000000"/>
        </w:rPr>
        <w:t>许馨月律师于</w:t>
      </w:r>
      <w:r w:rsidRPr="008D28F4">
        <w:rPr>
          <w:rFonts w:ascii="宋体" w:eastAsia="宋体" w:hAnsi="Times New Roman"/>
          <w:color w:val="000000"/>
        </w:rPr>
        <w:t>2017年加入方达律师事务所。加入方达之前，她自2010年至2017年在一家</w:t>
      </w:r>
      <w:r w:rsidRPr="008D28F4">
        <w:rPr>
          <w:rFonts w:ascii="宋体" w:eastAsia="宋体" w:hAnsi="Times New Roman"/>
          <w:color w:val="000000"/>
        </w:rPr>
        <w:t>“</w:t>
      </w:r>
      <w:r w:rsidRPr="008D28F4">
        <w:rPr>
          <w:rFonts w:ascii="宋体" w:eastAsia="宋体" w:hAnsi="Times New Roman"/>
          <w:color w:val="000000"/>
        </w:rPr>
        <w:t>魔术圈</w:t>
      </w:r>
      <w:r w:rsidRPr="008D28F4">
        <w:rPr>
          <w:rFonts w:ascii="宋体" w:eastAsia="宋体" w:hAnsi="Times New Roman"/>
          <w:color w:val="000000"/>
        </w:rPr>
        <w:t>”</w:t>
      </w:r>
      <w:r w:rsidRPr="008D28F4">
        <w:rPr>
          <w:rFonts w:ascii="宋体" w:eastAsia="宋体" w:hAnsi="Times New Roman"/>
          <w:color w:val="000000"/>
        </w:rPr>
        <w:t>英国律师事务所工作多年。</w:t>
      </w:r>
    </w:p>
    <w:sectPr w:rsidR="00A46A04" w:rsidRPr="008D28F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76100"/>
    <w:multiLevelType w:val="singleLevel"/>
    <w:tmpl w:val="9EE68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8E1501C"/>
    <w:multiLevelType w:val="singleLevel"/>
    <w:tmpl w:val="1B6A25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180E62"/>
    <w:multiLevelType w:val="singleLevel"/>
    <w:tmpl w:val="DB1C4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F4A2EAF"/>
    <w:multiLevelType w:val="singleLevel"/>
    <w:tmpl w:val="7F985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957A59"/>
    <w:multiLevelType w:val="singleLevel"/>
    <w:tmpl w:val="7F66D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41352C"/>
    <w:multiLevelType w:val="singleLevel"/>
    <w:tmpl w:val="B852C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3A0D2C"/>
    <w:multiLevelType w:val="singleLevel"/>
    <w:tmpl w:val="89DC2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303D98"/>
    <w:multiLevelType w:val="singleLevel"/>
    <w:tmpl w:val="D54C4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0D4085"/>
    <w:multiLevelType w:val="singleLevel"/>
    <w:tmpl w:val="E77ABD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4A648A"/>
    <w:multiLevelType w:val="singleLevel"/>
    <w:tmpl w:val="783AE9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9F46155"/>
    <w:multiLevelType w:val="singleLevel"/>
    <w:tmpl w:val="7F3CC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18101A"/>
    <w:multiLevelType w:val="singleLevel"/>
    <w:tmpl w:val="7CCAF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1F7632"/>
    <w:multiLevelType w:val="singleLevel"/>
    <w:tmpl w:val="562A02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1863C63"/>
    <w:multiLevelType w:val="singleLevel"/>
    <w:tmpl w:val="7624A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1D93F3A"/>
    <w:multiLevelType w:val="singleLevel"/>
    <w:tmpl w:val="DC6E0B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3896736"/>
    <w:multiLevelType w:val="singleLevel"/>
    <w:tmpl w:val="06E49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8CC4951"/>
    <w:multiLevelType w:val="singleLevel"/>
    <w:tmpl w:val="D0E0D9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A8B451B"/>
    <w:multiLevelType w:val="singleLevel"/>
    <w:tmpl w:val="7310B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CCA0F1B"/>
    <w:multiLevelType w:val="singleLevel"/>
    <w:tmpl w:val="198EC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F8F423D"/>
    <w:multiLevelType w:val="singleLevel"/>
    <w:tmpl w:val="E8466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9412D06"/>
    <w:multiLevelType w:val="singleLevel"/>
    <w:tmpl w:val="7960F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947269C"/>
    <w:multiLevelType w:val="singleLevel"/>
    <w:tmpl w:val="7F66D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C55585F"/>
    <w:multiLevelType w:val="singleLevel"/>
    <w:tmpl w:val="8CF4F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D15054C"/>
    <w:multiLevelType w:val="singleLevel"/>
    <w:tmpl w:val="70468E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D5B0CDB"/>
    <w:multiLevelType w:val="singleLevel"/>
    <w:tmpl w:val="E92AAF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E5048BF"/>
    <w:multiLevelType w:val="singleLevel"/>
    <w:tmpl w:val="E6D8AF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2282BEB"/>
    <w:multiLevelType w:val="singleLevel"/>
    <w:tmpl w:val="753615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22F4EA7"/>
    <w:multiLevelType w:val="singleLevel"/>
    <w:tmpl w:val="EDB4D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35C521A"/>
    <w:multiLevelType w:val="singleLevel"/>
    <w:tmpl w:val="605AB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5714E55"/>
    <w:multiLevelType w:val="singleLevel"/>
    <w:tmpl w:val="67D4A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5C855BD"/>
    <w:multiLevelType w:val="singleLevel"/>
    <w:tmpl w:val="356E0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ABC4FD1"/>
    <w:multiLevelType w:val="singleLevel"/>
    <w:tmpl w:val="00BC86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AC17FDE"/>
    <w:multiLevelType w:val="singleLevel"/>
    <w:tmpl w:val="420ADD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79E05E6"/>
    <w:multiLevelType w:val="singleLevel"/>
    <w:tmpl w:val="C2D4B3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E471FAA"/>
    <w:multiLevelType w:val="singleLevel"/>
    <w:tmpl w:val="AF5AB9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04F7455"/>
    <w:multiLevelType w:val="singleLevel"/>
    <w:tmpl w:val="11928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62662278"/>
    <w:multiLevelType w:val="singleLevel"/>
    <w:tmpl w:val="804A34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63940054"/>
    <w:multiLevelType w:val="singleLevel"/>
    <w:tmpl w:val="0CBE2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8846868"/>
    <w:multiLevelType w:val="singleLevel"/>
    <w:tmpl w:val="AFFA8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89452D6"/>
    <w:multiLevelType w:val="singleLevel"/>
    <w:tmpl w:val="659C9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A051B11"/>
    <w:multiLevelType w:val="singleLevel"/>
    <w:tmpl w:val="BAFCC7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AD7779E"/>
    <w:multiLevelType w:val="singleLevel"/>
    <w:tmpl w:val="B58C2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16461C6"/>
    <w:multiLevelType w:val="singleLevel"/>
    <w:tmpl w:val="F11417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1A16CFE"/>
    <w:multiLevelType w:val="singleLevel"/>
    <w:tmpl w:val="0C36D6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38C11A8"/>
    <w:multiLevelType w:val="singleLevel"/>
    <w:tmpl w:val="A42496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75B2166"/>
    <w:multiLevelType w:val="singleLevel"/>
    <w:tmpl w:val="7E76F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7A2547A"/>
    <w:multiLevelType w:val="singleLevel"/>
    <w:tmpl w:val="0D085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85B0EB0"/>
    <w:multiLevelType w:val="singleLevel"/>
    <w:tmpl w:val="4300C9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8B17E15"/>
    <w:multiLevelType w:val="singleLevel"/>
    <w:tmpl w:val="A874E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D3244D8"/>
    <w:multiLevelType w:val="singleLevel"/>
    <w:tmpl w:val="E5441D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4"/>
  </w:num>
  <w:num w:numId="2">
    <w:abstractNumId w:val="37"/>
  </w:num>
  <w:num w:numId="3">
    <w:abstractNumId w:val="13"/>
  </w:num>
  <w:num w:numId="4">
    <w:abstractNumId w:val="32"/>
  </w:num>
  <w:num w:numId="5">
    <w:abstractNumId w:val="16"/>
  </w:num>
  <w:num w:numId="6">
    <w:abstractNumId w:val="9"/>
  </w:num>
  <w:num w:numId="7">
    <w:abstractNumId w:val="30"/>
  </w:num>
  <w:num w:numId="8">
    <w:abstractNumId w:val="2"/>
  </w:num>
  <w:num w:numId="9">
    <w:abstractNumId w:val="14"/>
  </w:num>
  <w:num w:numId="10">
    <w:abstractNumId w:val="19"/>
  </w:num>
  <w:num w:numId="11">
    <w:abstractNumId w:val="8"/>
  </w:num>
  <w:num w:numId="12">
    <w:abstractNumId w:val="39"/>
  </w:num>
  <w:num w:numId="13">
    <w:abstractNumId w:val="18"/>
  </w:num>
  <w:num w:numId="14">
    <w:abstractNumId w:val="12"/>
  </w:num>
  <w:num w:numId="15">
    <w:abstractNumId w:val="33"/>
  </w:num>
  <w:num w:numId="16">
    <w:abstractNumId w:val="17"/>
  </w:num>
  <w:num w:numId="17">
    <w:abstractNumId w:val="47"/>
  </w:num>
  <w:num w:numId="18">
    <w:abstractNumId w:val="3"/>
  </w:num>
  <w:num w:numId="19">
    <w:abstractNumId w:val="23"/>
  </w:num>
  <w:num w:numId="20">
    <w:abstractNumId w:val="41"/>
  </w:num>
  <w:num w:numId="21">
    <w:abstractNumId w:val="34"/>
  </w:num>
  <w:num w:numId="22">
    <w:abstractNumId w:val="29"/>
  </w:num>
  <w:num w:numId="23">
    <w:abstractNumId w:val="24"/>
  </w:num>
  <w:num w:numId="24">
    <w:abstractNumId w:val="1"/>
  </w:num>
  <w:num w:numId="25">
    <w:abstractNumId w:val="26"/>
  </w:num>
  <w:num w:numId="26">
    <w:abstractNumId w:val="31"/>
  </w:num>
  <w:num w:numId="27">
    <w:abstractNumId w:val="27"/>
  </w:num>
  <w:num w:numId="28">
    <w:abstractNumId w:val="43"/>
  </w:num>
  <w:num w:numId="29">
    <w:abstractNumId w:val="42"/>
  </w:num>
  <w:num w:numId="30">
    <w:abstractNumId w:val="35"/>
  </w:num>
  <w:num w:numId="31">
    <w:abstractNumId w:val="49"/>
  </w:num>
  <w:num w:numId="32">
    <w:abstractNumId w:val="38"/>
  </w:num>
  <w:num w:numId="33">
    <w:abstractNumId w:val="10"/>
  </w:num>
  <w:num w:numId="34">
    <w:abstractNumId w:val="5"/>
  </w:num>
  <w:num w:numId="35">
    <w:abstractNumId w:val="48"/>
  </w:num>
  <w:num w:numId="36">
    <w:abstractNumId w:val="40"/>
  </w:num>
  <w:num w:numId="37">
    <w:abstractNumId w:val="45"/>
  </w:num>
  <w:num w:numId="38">
    <w:abstractNumId w:val="0"/>
  </w:num>
  <w:num w:numId="39">
    <w:abstractNumId w:val="28"/>
  </w:num>
  <w:num w:numId="40">
    <w:abstractNumId w:val="15"/>
  </w:num>
  <w:num w:numId="41">
    <w:abstractNumId w:val="25"/>
  </w:num>
  <w:num w:numId="42">
    <w:abstractNumId w:val="11"/>
  </w:num>
  <w:num w:numId="43">
    <w:abstractNumId w:val="36"/>
  </w:num>
  <w:num w:numId="44">
    <w:abstractNumId w:val="6"/>
  </w:num>
  <w:num w:numId="45">
    <w:abstractNumId w:val="46"/>
  </w:num>
  <w:num w:numId="46">
    <w:abstractNumId w:val="7"/>
  </w:num>
  <w:num w:numId="47">
    <w:abstractNumId w:val="20"/>
  </w:num>
  <w:num w:numId="48">
    <w:abstractNumId w:val="22"/>
  </w:num>
  <w:num w:numId="49">
    <w:abstractNumId w:val="4"/>
  </w:num>
  <w:num w:numId="50">
    <w:abstractNumId w:val="21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28F4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D28F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D28F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B55EDAD-3E17-46C6-A1AC-A67C4AFDC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2026-07-24T18:45:00Z</dcterms:created>
  <dcterms:modified xsi:type="dcterms:W3CDTF">2026-07-24T18:45:00Z</dcterms:modified>
</cp:coreProperties>
</file>