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0AD9827" w:rsidR="0049405C" w:rsidRPr="00187BAA" w:rsidRDefault="00BB3172" w:rsidP="00BB317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B3172">
              <w:rPr>
                <w:rFonts w:ascii="宋体" w:eastAsia="宋体" w:hAnsi="Times New Roman" w:hint="eastAsia"/>
                <w:b/>
                <w:color w:val="000000"/>
                <w:sz w:val="48"/>
              </w:rPr>
              <w:t>谭鹏</w:t>
            </w:r>
            <w:bookmarkEnd w:id="0"/>
          </w:p>
          <w:p w14:paraId="26B70F3B" w14:textId="77777777" w:rsidR="00BB3172" w:rsidRPr="00BB3172" w:rsidRDefault="00BB3172" w:rsidP="00BB3172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BB3172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</w:p>
          <w:p w14:paraId="706EB16B" w14:textId="57D00B05" w:rsidR="0049405C" w:rsidRPr="00187BAA" w:rsidRDefault="00BB3172" w:rsidP="00BB317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BB3172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6343AEAF" w:rsidR="0049405C" w:rsidRPr="00187BAA" w:rsidRDefault="00BB3172" w:rsidP="00BB317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B3172">
              <w:rPr>
                <w:rFonts w:ascii="宋体" w:eastAsia="宋体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369150AF" w:rsidR="0049405C" w:rsidRPr="00187BAA" w:rsidRDefault="00BB3172" w:rsidP="00BB317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B3172">
              <w:rPr>
                <w:rFonts w:ascii="宋体" w:eastAsia="宋体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A6DE7E" w:rsidR="0049405C" w:rsidRPr="00187BAA" w:rsidRDefault="00BB317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B23EC5" wp14:editId="7B0EF04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FD10CA2" w:rsidR="009465FB" w:rsidRPr="00187BAA" w:rsidRDefault="00BB317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B3172">
              <w:rPr>
                <w:rFonts w:ascii="宋体" w:eastAsia="宋体" w:hAnsi="Times New Roman" w:hint="eastAsia"/>
                <w:color w:val="000000"/>
                <w:szCs w:val="21"/>
              </w:rPr>
              <w:t>谭鹏律师的主要执业领域包括收购与兼并、私募股权投资、收购融资、基金设立、公司一般法律事务以及证券发行。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012AC0E" w14:textId="77777777" w:rsidR="00BB317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0261A4" w14:textId="77777777" w:rsidR="00BB3172" w:rsidRDefault="00BB3172" w:rsidP="00BB3172">
      <w:pPr>
        <w:pStyle w:val="af5"/>
        <w:spacing w:before="12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谭律师在帮助中国客户进行海外收购（美国、欧洲、南美以及亚洲）方面经验丰富。谭律师被</w:t>
      </w:r>
      <w:r w:rsidRPr="00BB3172">
        <w:rPr>
          <w:rFonts w:ascii="宋体" w:eastAsia="宋体" w:hAnsi="Times New Roman"/>
          <w:color w:val="000000"/>
        </w:rPr>
        <w:t>Chambers、Asialaw、IFLR和WIW等法律杂志评为投资基金、私募融资和并购领域的顶尖律师。</w:t>
      </w:r>
    </w:p>
    <w:p w14:paraId="20F897B0" w14:textId="77777777" w:rsidR="00BB3172" w:rsidRDefault="00BB3172" w:rsidP="00BB317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72">
        <w:rPr>
          <w:rFonts w:ascii="宋体" w:eastAsia="宋体" w:hAnsi="宋体" w:hint="eastAsia"/>
          <w:b/>
          <w:sz w:val="24"/>
        </w:rPr>
        <w:t>近期代理的主要案件</w:t>
      </w:r>
    </w:p>
    <w:p w14:paraId="5D2B37BE" w14:textId="77777777" w:rsidR="00BB3172" w:rsidRDefault="00BB3172" w:rsidP="00BB317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0C8F20E" w14:textId="77777777" w:rsidR="00BB3172" w:rsidRDefault="00BB3172" w:rsidP="00BB317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代表多家企业进行战略投资或收购，包括迈兰制药、倍耐力、滴滴出行、满帮集团、上海电气、新浪</w:t>
      </w:r>
      <w:r w:rsidRPr="00BB3172">
        <w:rPr>
          <w:rFonts w:ascii="宋体" w:eastAsia="宋体" w:hAnsi="Times New Roman"/>
          <w:color w:val="000000"/>
        </w:rPr>
        <w:t>/微博、中联重科、中储发展、中国投资公司、长虹、强生、时代新材等；</w:t>
      </w:r>
    </w:p>
    <w:p w14:paraId="617B4FDB" w14:textId="77777777" w:rsidR="00BB3172" w:rsidRDefault="00BB3172" w:rsidP="00BB317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为多个私募和风险投资基金和企业提供投资和基金服务，包括中信产业基金、华平、建投投资、高盛、弘毅投资、鼎晖、平安、青云创投、戈壁、曼达林、嘉御、</w:t>
      </w:r>
      <w:r w:rsidRPr="00BB3172">
        <w:rPr>
          <w:rFonts w:ascii="宋体" w:eastAsia="宋体" w:hAnsi="Times New Roman"/>
          <w:color w:val="000000"/>
        </w:rPr>
        <w:t>IDG、红杉、英联、AIF、春华、景顺、LB、宽带资本、NHN等；</w:t>
      </w:r>
    </w:p>
    <w:p w14:paraId="3B1465D3" w14:textId="77777777" w:rsidR="00BB3172" w:rsidRDefault="00BB3172" w:rsidP="00BB317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代表多家互联网企业进行融资，包括滴滴出行、满帮集团、奇虎</w:t>
      </w:r>
      <w:r w:rsidRPr="00BB3172">
        <w:rPr>
          <w:rFonts w:ascii="宋体" w:eastAsia="宋体" w:hAnsi="Times New Roman"/>
          <w:color w:val="000000"/>
        </w:rPr>
        <w:t>360、凯京、新心金融、叮叮鲜食、辣妈帮、盈盈理财等；</w:t>
      </w:r>
    </w:p>
    <w:p w14:paraId="00B30E2B" w14:textId="77777777" w:rsidR="00BB3172" w:rsidRDefault="00BB3172" w:rsidP="00BB317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参与多个中国公司海外上市和债券发行项目，行业涉及互联网、钢铁、船运、制造、太阳能、医药等。</w:t>
      </w:r>
    </w:p>
    <w:p w14:paraId="4B95C582" w14:textId="77777777" w:rsidR="00BB3172" w:rsidRDefault="00BB3172" w:rsidP="00BB317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72">
        <w:rPr>
          <w:rFonts w:ascii="宋体" w:eastAsia="宋体" w:hAnsi="宋体" w:hint="eastAsia"/>
          <w:b/>
          <w:sz w:val="24"/>
        </w:rPr>
        <w:t>教育背景</w:t>
      </w:r>
    </w:p>
    <w:p w14:paraId="71A0DE6C" w14:textId="77777777" w:rsidR="00BB3172" w:rsidRDefault="00BB3172" w:rsidP="00BB317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北京外国语大学，文学学士</w:t>
      </w:r>
    </w:p>
    <w:p w14:paraId="3E278F9A" w14:textId="77777777" w:rsidR="00BB3172" w:rsidRDefault="00BB3172" w:rsidP="00BB317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哥伦比亚大学，法学博士</w:t>
      </w:r>
    </w:p>
    <w:p w14:paraId="4C490706" w14:textId="77777777" w:rsidR="00BB3172" w:rsidRDefault="00BB3172" w:rsidP="00BB317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72">
        <w:rPr>
          <w:rFonts w:ascii="宋体" w:eastAsia="宋体" w:hAnsi="宋体" w:hint="eastAsia"/>
          <w:b/>
          <w:sz w:val="24"/>
        </w:rPr>
        <w:t>执业资格</w:t>
      </w:r>
    </w:p>
    <w:p w14:paraId="7CA1801E" w14:textId="77777777" w:rsidR="00BB3172" w:rsidRDefault="00BB3172" w:rsidP="00BB317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美国纽约州律师资格</w:t>
      </w:r>
    </w:p>
    <w:p w14:paraId="227CE791" w14:textId="77777777" w:rsidR="00BB3172" w:rsidRDefault="00BB3172" w:rsidP="00BB317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香港特别行政区注册外地律师</w:t>
      </w:r>
    </w:p>
    <w:p w14:paraId="078BF368" w14:textId="77777777" w:rsidR="00BB3172" w:rsidRDefault="00BB3172" w:rsidP="00BB317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72">
        <w:rPr>
          <w:rFonts w:ascii="宋体" w:eastAsia="宋体" w:hAnsi="宋体" w:hint="eastAsia"/>
          <w:b/>
          <w:sz w:val="24"/>
        </w:rPr>
        <w:t>职业背景</w:t>
      </w:r>
    </w:p>
    <w:p w14:paraId="4F0A196B" w14:textId="1F05A05E" w:rsidR="00A46A04" w:rsidRPr="00BB3172" w:rsidRDefault="00BB3172" w:rsidP="00BB317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72">
        <w:rPr>
          <w:rFonts w:ascii="宋体" w:eastAsia="宋体" w:hAnsi="Times New Roman" w:hint="eastAsia"/>
          <w:color w:val="000000"/>
        </w:rPr>
        <w:t>在加入方达律师事务所之前，谭鹏律师曾在美国盛信律师事务所、美国美邦律师事务所以及奋迅律师事务所工作。</w:t>
      </w:r>
    </w:p>
    <w:sectPr w:rsidR="00A46A04" w:rsidRPr="00BB317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DF8"/>
    <w:multiLevelType w:val="singleLevel"/>
    <w:tmpl w:val="BB9AB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791B3E"/>
    <w:multiLevelType w:val="singleLevel"/>
    <w:tmpl w:val="6BCAA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A0461A"/>
    <w:multiLevelType w:val="singleLevel"/>
    <w:tmpl w:val="6BCAA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4D0AB4"/>
    <w:multiLevelType w:val="singleLevel"/>
    <w:tmpl w:val="53044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01825B1"/>
    <w:multiLevelType w:val="singleLevel"/>
    <w:tmpl w:val="07128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6D455F5"/>
    <w:multiLevelType w:val="singleLevel"/>
    <w:tmpl w:val="CA885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85D279E"/>
    <w:multiLevelType w:val="singleLevel"/>
    <w:tmpl w:val="42505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BD71255"/>
    <w:multiLevelType w:val="singleLevel"/>
    <w:tmpl w:val="4DEEF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6594096"/>
    <w:multiLevelType w:val="singleLevel"/>
    <w:tmpl w:val="8FE60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8F94482"/>
    <w:multiLevelType w:val="singleLevel"/>
    <w:tmpl w:val="41B05D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8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B3172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B317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B317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287B29-DB1F-4C1B-8961-90F301E1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2026-10-20T01:38:00Z</dcterms:created>
  <dcterms:modified xsi:type="dcterms:W3CDTF">2026-10-20T01:38:00Z</dcterms:modified>
</cp:coreProperties>
</file>