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269EFD" w:rsidR="0049405C" w:rsidRPr="00187BAA" w:rsidRDefault="00CD47F3" w:rsidP="00CD47F3">
            <w:pPr>
              <w:spacing w:line="720" w:lineRule="auto"/>
              <w:rPr>
                <w:rFonts w:ascii="宋体" w:eastAsia="宋体" w:hAnsi="宋体"/>
                <w:color w:val="545551"/>
              </w:rPr>
            </w:pPr>
            <w:bookmarkStart w:id="0" w:name="xingming"/>
            <w:bookmarkStart w:id="1" w:name="_GoBack"/>
            <w:bookmarkEnd w:id="1"/>
            <w:r w:rsidRPr="00CD47F3">
              <w:rPr>
                <w:rFonts w:ascii="宋体" w:eastAsia="宋体" w:hAnsi="Times New Roman" w:hint="eastAsia"/>
                <w:b/>
                <w:color w:val="000000"/>
                <w:sz w:val="48"/>
              </w:rPr>
              <w:t>谭国彦</w:t>
            </w:r>
            <w:bookmarkEnd w:id="0"/>
          </w:p>
          <w:p w14:paraId="706EB16B" w14:textId="67AE2660" w:rsidR="0049405C" w:rsidRPr="00187BAA" w:rsidRDefault="00CD47F3" w:rsidP="00CD47F3">
            <w:pPr>
              <w:spacing w:line="360" w:lineRule="auto"/>
              <w:rPr>
                <w:rFonts w:ascii="宋体" w:eastAsia="宋体" w:hAnsi="宋体"/>
                <w:b/>
                <w:bCs/>
                <w:color w:val="545551"/>
              </w:rPr>
            </w:pPr>
            <w:bookmarkStart w:id="2" w:name="didian"/>
            <w:r w:rsidRPr="00CD47F3">
              <w:rPr>
                <w:rFonts w:ascii="宋体" w:eastAsia="宋体" w:hAnsi="Times New Roman" w:hint="eastAsia"/>
                <w:b/>
                <w:bCs/>
                <w:color w:val="000000"/>
              </w:rPr>
              <w:t>高级顾问·香港</w:t>
            </w:r>
            <w:bookmarkEnd w:id="2"/>
          </w:p>
          <w:p w14:paraId="6199424A" w14:textId="1F03223E" w:rsidR="0049405C" w:rsidRPr="00187BAA" w:rsidRDefault="00CD47F3" w:rsidP="00CD47F3">
            <w:pPr>
              <w:spacing w:line="360" w:lineRule="auto"/>
              <w:rPr>
                <w:rFonts w:ascii="宋体" w:eastAsia="宋体" w:hAnsi="宋体"/>
                <w:color w:val="545551"/>
              </w:rPr>
            </w:pPr>
            <w:bookmarkStart w:id="3" w:name="dianhua"/>
            <w:r w:rsidRPr="00CD47F3">
              <w:rPr>
                <w:rFonts w:ascii="宋体" w:eastAsia="宋体" w:hAnsi="Times New Roman"/>
                <w:color w:val="000000"/>
              </w:rPr>
              <w:t xml:space="preserve">+852 3976 8838 </w:t>
            </w:r>
            <w:bookmarkEnd w:id="3"/>
          </w:p>
          <w:p w14:paraId="4F910ACA" w14:textId="5645778B" w:rsidR="0049405C" w:rsidRPr="00187BAA" w:rsidRDefault="00CD47F3" w:rsidP="00CD47F3">
            <w:pPr>
              <w:spacing w:line="360" w:lineRule="auto"/>
              <w:rPr>
                <w:rFonts w:ascii="宋体" w:eastAsia="宋体" w:hAnsi="宋体"/>
                <w:color w:val="000000"/>
              </w:rPr>
            </w:pPr>
            <w:bookmarkStart w:id="4" w:name="youxiang"/>
            <w:r w:rsidRPr="00CD47F3">
              <w:rPr>
                <w:rFonts w:ascii="宋体" w:eastAsia="宋体" w:hAnsi="Times New Roman"/>
                <w:color w:val="000000"/>
              </w:rPr>
              <w:t>michael.tam@fangdalaw.com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C7D8F7" w:rsidR="0049405C" w:rsidRPr="00187BAA" w:rsidRDefault="00CD47F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BDB550B" wp14:editId="490DC2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207F33A" w:rsidR="009465FB" w:rsidRPr="00187BAA" w:rsidRDefault="00CD47F3" w:rsidP="007177F3">
            <w:pPr>
              <w:rPr>
                <w:rFonts w:ascii="宋体" w:eastAsia="宋体" w:hAnsi="宋体"/>
                <w:color w:val="000000"/>
                <w:szCs w:val="21"/>
              </w:rPr>
            </w:pPr>
            <w:bookmarkStart w:id="6" w:name="zhiyelingyu"/>
            <w:r w:rsidRPr="00CD47F3">
              <w:rPr>
                <w:rFonts w:ascii="宋体" w:eastAsia="宋体" w:hAnsi="Times New Roman" w:hint="eastAsia"/>
                <w:color w:val="000000"/>
                <w:szCs w:val="21"/>
              </w:rPr>
              <w:t>谭国彦律师专注于为国内外的能源开发、基础建设和房地产项目提供法律服务。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667CAA" w14:textId="77777777" w:rsidR="00CD47F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A3EE3A" w14:textId="77777777" w:rsidR="00CD47F3" w:rsidRDefault="00CD47F3" w:rsidP="00CD47F3">
      <w:pPr>
        <w:pStyle w:val="af5"/>
        <w:spacing w:after="0" w:line="480" w:lineRule="auto"/>
        <w:rPr>
          <w:rFonts w:ascii="宋体" w:eastAsia="宋体" w:hAnsi="宋体"/>
          <w:b/>
          <w:sz w:val="24"/>
        </w:rPr>
      </w:pPr>
      <w:r w:rsidRPr="00CD47F3">
        <w:rPr>
          <w:rFonts w:ascii="宋体" w:eastAsia="宋体" w:hAnsi="宋体" w:hint="eastAsia"/>
          <w:b/>
          <w:sz w:val="24"/>
        </w:rPr>
        <w:t>近期代理的主要案件</w:t>
      </w:r>
    </w:p>
    <w:p w14:paraId="4149760B" w14:textId="77777777" w:rsidR="00CD47F3" w:rsidRDefault="00CD47F3" w:rsidP="00CD47F3">
      <w:pPr>
        <w:pStyle w:val="af5"/>
        <w:spacing w:before="120"/>
        <w:rPr>
          <w:rFonts w:ascii="宋体" w:eastAsia="宋体" w:hAnsi="Times New Roman"/>
          <w:color w:val="000000"/>
        </w:rPr>
      </w:pPr>
      <w:r w:rsidRPr="00CD47F3">
        <w:rPr>
          <w:rFonts w:ascii="宋体" w:eastAsia="宋体" w:hAnsi="Times New Roman" w:hint="eastAsia"/>
          <w:color w:val="000000"/>
        </w:rPr>
        <w:t>电力项目</w:t>
      </w:r>
    </w:p>
    <w:p w14:paraId="3C5D690B" w14:textId="77777777" w:rsidR="00CD47F3" w:rsidRDefault="00CD47F3" w:rsidP="00CD47F3">
      <w:pPr>
        <w:pStyle w:val="af5"/>
        <w:numPr>
          <w:ilvl w:val="0"/>
          <w:numId w:val="1"/>
        </w:numPr>
        <w:spacing w:before="120"/>
        <w:ind w:left="690" w:hanging="240"/>
        <w:rPr>
          <w:rFonts w:ascii="宋体" w:eastAsia="宋体" w:hAnsi="Times New Roman"/>
          <w:color w:val="000000"/>
        </w:rPr>
      </w:pPr>
      <w:r w:rsidRPr="00CD47F3">
        <w:rPr>
          <w:rFonts w:ascii="宋体" w:eastAsia="宋体" w:hAnsi="Times New Roman" w:hint="eastAsia"/>
          <w:color w:val="000000"/>
        </w:rPr>
        <w:t>柬埔寨</w:t>
      </w:r>
      <w:r w:rsidRPr="00CD47F3">
        <w:rPr>
          <w:rFonts w:ascii="宋体" w:eastAsia="宋体" w:hAnsi="Times New Roman"/>
          <w:color w:val="000000"/>
        </w:rPr>
        <w:t>2x660MW电力项目：代表一家大型的印尼矿业公司，为其与一家中国电力公司于柬埔寨2x660MW矿口燃煤电力项目融资和开发的拟议合资项目提供法律服务。</w:t>
      </w:r>
    </w:p>
    <w:p w14:paraId="71E5BE31" w14:textId="77777777" w:rsidR="00CD47F3" w:rsidRDefault="00CD47F3" w:rsidP="00CD47F3">
      <w:pPr>
        <w:pStyle w:val="af5"/>
        <w:numPr>
          <w:ilvl w:val="0"/>
          <w:numId w:val="2"/>
        </w:numPr>
        <w:spacing w:before="120"/>
        <w:ind w:left="690" w:hanging="240"/>
        <w:rPr>
          <w:rFonts w:ascii="宋体" w:eastAsia="宋体" w:hAnsi="Times New Roman"/>
          <w:color w:val="000000"/>
        </w:rPr>
      </w:pPr>
      <w:r w:rsidRPr="00CD47F3">
        <w:rPr>
          <w:rFonts w:ascii="宋体" w:eastAsia="宋体" w:hAnsi="Times New Roman" w:hint="eastAsia"/>
          <w:color w:val="000000"/>
        </w:rPr>
        <w:t>巴布亚新几内亚</w:t>
      </w:r>
      <w:r w:rsidRPr="00CD47F3">
        <w:rPr>
          <w:rFonts w:ascii="宋体" w:eastAsia="宋体" w:hAnsi="Times New Roman"/>
          <w:color w:val="000000"/>
        </w:rPr>
        <w:t>180MW电力项目：代表一家由发电公司和工程总承包商组成的联合企业，为其于巴布亚新几内亚180MW水力发电站的新建和运营提供法律服务。</w:t>
      </w:r>
    </w:p>
    <w:p w14:paraId="3BF06EF2" w14:textId="77777777" w:rsidR="00CD47F3" w:rsidRDefault="00CD47F3" w:rsidP="00CD47F3">
      <w:pPr>
        <w:pStyle w:val="af5"/>
        <w:numPr>
          <w:ilvl w:val="0"/>
          <w:numId w:val="3"/>
        </w:numPr>
        <w:spacing w:before="120"/>
        <w:ind w:left="690" w:hanging="240"/>
        <w:rPr>
          <w:rFonts w:ascii="宋体" w:eastAsia="宋体" w:hAnsi="Times New Roman"/>
          <w:color w:val="000000"/>
        </w:rPr>
      </w:pPr>
      <w:r w:rsidRPr="00CD47F3">
        <w:rPr>
          <w:rFonts w:ascii="宋体" w:eastAsia="宋体" w:hAnsi="Times New Roman" w:hint="eastAsia"/>
          <w:color w:val="000000"/>
        </w:rPr>
        <w:t>印尼</w:t>
      </w:r>
      <w:r w:rsidRPr="00CD47F3">
        <w:rPr>
          <w:rFonts w:ascii="宋体" w:eastAsia="宋体" w:hAnsi="Times New Roman"/>
          <w:color w:val="000000"/>
        </w:rPr>
        <w:t>3x660MW电力项目：代表一家大型的印尼矿业公司，为其与一家中国电力公司于印尼苏门答腊岛3x660MW矿口燃煤电力项目融资和开发的拟议合资项目提供法律服务。</w:t>
      </w:r>
    </w:p>
    <w:p w14:paraId="6B9ADEEB" w14:textId="77777777" w:rsidR="00CD47F3" w:rsidRDefault="00CD47F3" w:rsidP="00CD47F3">
      <w:pPr>
        <w:pStyle w:val="af5"/>
        <w:numPr>
          <w:ilvl w:val="0"/>
          <w:numId w:val="4"/>
        </w:numPr>
        <w:spacing w:before="120"/>
        <w:ind w:left="690" w:hanging="240"/>
        <w:rPr>
          <w:rFonts w:ascii="宋体" w:eastAsia="宋体" w:hAnsi="Times New Roman"/>
          <w:color w:val="000000"/>
        </w:rPr>
      </w:pPr>
      <w:r w:rsidRPr="00CD47F3">
        <w:rPr>
          <w:rFonts w:ascii="宋体" w:eastAsia="宋体" w:hAnsi="Times New Roman" w:hint="eastAsia"/>
          <w:color w:val="000000"/>
        </w:rPr>
        <w:t>莫桑比克电力项目：代表一家于伦敦证券交易所另类投资市场版上市的公司，为其与一家中国电力公司于莫桑比克</w:t>
      </w:r>
      <w:r w:rsidRPr="00CD47F3">
        <w:rPr>
          <w:rFonts w:ascii="宋体" w:eastAsia="宋体" w:hAnsi="Times New Roman"/>
          <w:color w:val="000000"/>
        </w:rPr>
        <w:t>2x660MW矿口燃煤电力项目融资和开发的拟议合资项目提供法律服务。</w:t>
      </w:r>
    </w:p>
    <w:p w14:paraId="7E029869" w14:textId="77777777" w:rsidR="00CD47F3" w:rsidRDefault="00CD47F3" w:rsidP="00CD47F3">
      <w:pPr>
        <w:pStyle w:val="af5"/>
        <w:numPr>
          <w:ilvl w:val="0"/>
          <w:numId w:val="5"/>
        </w:numPr>
        <w:spacing w:before="120"/>
        <w:ind w:left="690" w:hanging="240"/>
        <w:rPr>
          <w:rFonts w:ascii="宋体" w:eastAsia="宋体" w:hAnsi="Times New Roman"/>
          <w:color w:val="000000"/>
        </w:rPr>
      </w:pPr>
      <w:r w:rsidRPr="00CD47F3">
        <w:rPr>
          <w:rFonts w:ascii="宋体" w:eastAsia="宋体" w:hAnsi="Times New Roman" w:hint="eastAsia"/>
          <w:color w:val="000000"/>
        </w:rPr>
        <w:t>辽宁省风电场：代表中电集团，为其与中国风电集团有限公司成立合资企业以及收购两个位于中国辽宁省风电场的项目提供法律服务。</w:t>
      </w:r>
    </w:p>
    <w:p w14:paraId="00D144C8" w14:textId="77777777" w:rsidR="00CD47F3" w:rsidRDefault="00CD47F3" w:rsidP="00CD47F3">
      <w:pPr>
        <w:pStyle w:val="af5"/>
        <w:numPr>
          <w:ilvl w:val="0"/>
          <w:numId w:val="6"/>
        </w:numPr>
        <w:spacing w:before="120"/>
        <w:ind w:left="690" w:hanging="240"/>
        <w:rPr>
          <w:rFonts w:ascii="宋体" w:eastAsia="宋体" w:hAnsi="Times New Roman"/>
          <w:color w:val="000000"/>
        </w:rPr>
      </w:pPr>
      <w:r w:rsidRPr="00CD47F3">
        <w:rPr>
          <w:rFonts w:ascii="宋体" w:eastAsia="宋体" w:hAnsi="Times New Roman" w:hint="eastAsia"/>
          <w:color w:val="000000"/>
        </w:rPr>
        <w:t>大亚湾核电站管理重组及承购安排：代表中电集团，为其成立大亚湾核电营运管理有限责任公司（大亚湾运营公司），并就大亚湾运营公司于</w:t>
      </w:r>
      <w:r w:rsidRPr="00CD47F3">
        <w:rPr>
          <w:rFonts w:ascii="宋体" w:eastAsia="宋体" w:hAnsi="Times New Roman"/>
          <w:color w:val="000000"/>
        </w:rPr>
        <w:t>2009年为符合《管制计划协议》的管理重组及关税和承购安排的重新谈判提供法律服务。</w:t>
      </w:r>
    </w:p>
    <w:p w14:paraId="40D868C5" w14:textId="77777777" w:rsidR="00CD47F3" w:rsidRDefault="00CD47F3" w:rsidP="00CD47F3">
      <w:pPr>
        <w:pStyle w:val="af5"/>
        <w:numPr>
          <w:ilvl w:val="0"/>
          <w:numId w:val="7"/>
        </w:numPr>
        <w:spacing w:before="120"/>
        <w:ind w:left="690" w:hanging="240"/>
        <w:rPr>
          <w:rFonts w:ascii="宋体" w:eastAsia="宋体" w:hAnsi="Times New Roman"/>
          <w:color w:val="000000"/>
        </w:rPr>
      </w:pPr>
      <w:r w:rsidRPr="00CD47F3">
        <w:rPr>
          <w:rFonts w:ascii="宋体" w:eastAsia="宋体" w:hAnsi="Times New Roman" w:hint="eastAsia"/>
          <w:color w:val="000000"/>
        </w:rPr>
        <w:t>内蒙古风电场：代表</w:t>
      </w:r>
      <w:r w:rsidRPr="00CD47F3">
        <w:rPr>
          <w:rFonts w:ascii="宋体" w:eastAsia="宋体" w:hAnsi="Times New Roman"/>
          <w:color w:val="000000"/>
        </w:rPr>
        <w:t>Arcapita，为其收购位于中国的风电场资产项目提供法律服务。</w:t>
      </w:r>
    </w:p>
    <w:p w14:paraId="78C414A0" w14:textId="77777777" w:rsidR="00CD47F3" w:rsidRDefault="00CD47F3" w:rsidP="00CD47F3">
      <w:pPr>
        <w:pStyle w:val="af5"/>
        <w:numPr>
          <w:ilvl w:val="0"/>
          <w:numId w:val="8"/>
        </w:numPr>
        <w:spacing w:before="120"/>
        <w:ind w:left="690" w:hanging="240"/>
        <w:rPr>
          <w:rFonts w:ascii="宋体" w:eastAsia="宋体" w:hAnsi="Times New Roman"/>
          <w:color w:val="000000"/>
        </w:rPr>
      </w:pPr>
      <w:r w:rsidRPr="00CD47F3">
        <w:rPr>
          <w:rFonts w:ascii="宋体" w:eastAsia="宋体" w:hAnsi="Times New Roman" w:hint="eastAsia"/>
          <w:color w:val="000000"/>
        </w:rPr>
        <w:t>沙角</w:t>
      </w:r>
      <w:r w:rsidRPr="00CD47F3">
        <w:rPr>
          <w:rFonts w:ascii="宋体" w:eastAsia="宋体" w:hAnsi="Times New Roman"/>
          <w:color w:val="000000"/>
        </w:rPr>
        <w:t>C电厂：代表英属百慕大迈朗（亚太）有限公司（Mirant Asia Pacific）就其处置其于中国广东沙角C电厂的投资提供法律意见。</w:t>
      </w:r>
    </w:p>
    <w:p w14:paraId="61F74E78" w14:textId="77777777" w:rsidR="00CD47F3" w:rsidRDefault="00CD47F3" w:rsidP="00CD47F3">
      <w:pPr>
        <w:pStyle w:val="af5"/>
        <w:numPr>
          <w:ilvl w:val="0"/>
          <w:numId w:val="9"/>
        </w:numPr>
        <w:spacing w:before="120"/>
        <w:ind w:left="690" w:hanging="240"/>
        <w:rPr>
          <w:rFonts w:ascii="宋体" w:eastAsia="宋体" w:hAnsi="Times New Roman"/>
          <w:color w:val="000000"/>
        </w:rPr>
      </w:pPr>
      <w:r w:rsidRPr="00CD47F3">
        <w:rPr>
          <w:rFonts w:ascii="宋体" w:eastAsia="宋体" w:hAnsi="Times New Roman" w:hint="eastAsia"/>
          <w:color w:val="000000"/>
        </w:rPr>
        <w:t>国华第二期投资项目：代表中电集团，为其收购一个位于内蒙古的</w:t>
      </w:r>
      <w:r w:rsidRPr="00CD47F3">
        <w:rPr>
          <w:rFonts w:ascii="宋体" w:eastAsia="宋体" w:hAnsi="Times New Roman"/>
          <w:color w:val="000000"/>
        </w:rPr>
        <w:t>2x330MW电厂以及一个位于中国辽宁省的2x800MW电厂的项目提供法律服务。</w:t>
      </w:r>
    </w:p>
    <w:p w14:paraId="098F6B81" w14:textId="77777777" w:rsidR="00CD47F3" w:rsidRDefault="00CD47F3" w:rsidP="00CD47F3">
      <w:pPr>
        <w:pStyle w:val="af5"/>
        <w:numPr>
          <w:ilvl w:val="0"/>
          <w:numId w:val="10"/>
        </w:numPr>
        <w:spacing w:before="120"/>
        <w:ind w:left="690" w:hanging="240"/>
        <w:rPr>
          <w:rFonts w:ascii="宋体" w:eastAsia="宋体" w:hAnsi="Times New Roman"/>
          <w:color w:val="000000"/>
        </w:rPr>
      </w:pPr>
      <w:r w:rsidRPr="00CD47F3">
        <w:rPr>
          <w:rFonts w:ascii="宋体" w:eastAsia="宋体" w:hAnsi="Times New Roman" w:hint="eastAsia"/>
          <w:color w:val="000000"/>
        </w:rPr>
        <w:t>贵州电厂项目：代表中电集团，为其一个在中国贵州省的</w:t>
      </w:r>
      <w:r w:rsidRPr="00CD47F3">
        <w:rPr>
          <w:rFonts w:ascii="宋体" w:eastAsia="宋体" w:hAnsi="Times New Roman"/>
          <w:color w:val="000000"/>
        </w:rPr>
        <w:t>2X300MW燃煤电站项目的新建和融资提供法律服务。</w:t>
      </w:r>
    </w:p>
    <w:p w14:paraId="7AF3F889" w14:textId="77777777" w:rsidR="00CD47F3" w:rsidRDefault="00CD47F3" w:rsidP="00CD47F3">
      <w:pPr>
        <w:pStyle w:val="af5"/>
        <w:numPr>
          <w:ilvl w:val="0"/>
          <w:numId w:val="11"/>
        </w:numPr>
        <w:spacing w:before="120"/>
        <w:ind w:left="690" w:hanging="240"/>
        <w:rPr>
          <w:rFonts w:ascii="宋体" w:eastAsia="宋体" w:hAnsi="Times New Roman"/>
          <w:color w:val="000000"/>
        </w:rPr>
      </w:pPr>
      <w:r w:rsidRPr="00CD47F3">
        <w:rPr>
          <w:rFonts w:ascii="宋体" w:eastAsia="宋体" w:hAnsi="Times New Roman" w:hint="eastAsia"/>
          <w:color w:val="000000"/>
        </w:rPr>
        <w:t>台山电力项目：代表丸红株式会社（作为外资投资方和设备提供商），为其投标新建投资一个</w:t>
      </w:r>
      <w:r w:rsidRPr="00CD47F3">
        <w:rPr>
          <w:rFonts w:ascii="宋体" w:eastAsia="宋体" w:hAnsi="Times New Roman"/>
          <w:color w:val="000000"/>
        </w:rPr>
        <w:t>2x660MW电站项目和提供设备提供法律服务，包括电力购买协议以及经营和管理协议的起草及谈判。就交钥匙建设合同（Turnkey Construction Contract）及设备供应商提交的投标文件评估事宜，向外资投资方提供法律服务。</w:t>
      </w:r>
    </w:p>
    <w:p w14:paraId="61845A20" w14:textId="77777777" w:rsidR="00CD47F3" w:rsidRDefault="00CD47F3" w:rsidP="00CD47F3">
      <w:pPr>
        <w:pStyle w:val="af5"/>
        <w:numPr>
          <w:ilvl w:val="0"/>
          <w:numId w:val="12"/>
        </w:numPr>
        <w:spacing w:before="120"/>
        <w:ind w:left="690" w:hanging="240"/>
        <w:rPr>
          <w:rFonts w:ascii="宋体" w:eastAsia="宋体" w:hAnsi="Times New Roman"/>
          <w:color w:val="000000"/>
        </w:rPr>
      </w:pPr>
      <w:r w:rsidRPr="00CD47F3">
        <w:rPr>
          <w:rFonts w:ascii="宋体" w:eastAsia="宋体" w:hAnsi="Times New Roman" w:hint="eastAsia"/>
          <w:color w:val="000000"/>
        </w:rPr>
        <w:t>山东中华电力项目：代表中电集团，为其位于中国山东省</w:t>
      </w:r>
      <w:r w:rsidRPr="00CD47F3">
        <w:rPr>
          <w:rFonts w:ascii="宋体" w:eastAsia="宋体" w:hAnsi="Times New Roman"/>
          <w:color w:val="000000"/>
        </w:rPr>
        <w:t>3,000MW石横电厂二期、菏泽电厂及聊城电厂的燃煤电站项目的新建和项目融资提供法律服务。该项目是中国第一批拥有3,000MW发电容量的BOT模式（建设－经营－转让）燃煤电站项目之一。</w:t>
      </w:r>
    </w:p>
    <w:p w14:paraId="6B962E3A" w14:textId="77777777" w:rsidR="00CD47F3" w:rsidRDefault="00CD47F3" w:rsidP="00CD47F3">
      <w:pPr>
        <w:pStyle w:val="af5"/>
        <w:numPr>
          <w:ilvl w:val="0"/>
          <w:numId w:val="13"/>
        </w:numPr>
        <w:spacing w:before="120"/>
        <w:ind w:left="690" w:hanging="240"/>
        <w:rPr>
          <w:rFonts w:ascii="宋体" w:eastAsia="宋体" w:hAnsi="Times New Roman"/>
          <w:color w:val="000000"/>
        </w:rPr>
      </w:pPr>
      <w:r w:rsidRPr="00CD47F3">
        <w:rPr>
          <w:rFonts w:ascii="宋体" w:eastAsia="宋体" w:hAnsi="Times New Roman" w:hint="eastAsia"/>
          <w:color w:val="000000"/>
        </w:rPr>
        <w:t>神木电力项目：代表中电集团，为其收购位于中国陕西省神木县的</w:t>
      </w:r>
      <w:r w:rsidRPr="00CD47F3">
        <w:rPr>
          <w:rFonts w:ascii="宋体" w:eastAsia="宋体" w:hAnsi="Times New Roman"/>
          <w:color w:val="000000"/>
        </w:rPr>
        <w:t>2x100MW电站项目提供法律服务。</w:t>
      </w:r>
    </w:p>
    <w:p w14:paraId="449262BF" w14:textId="77777777" w:rsidR="00CD47F3" w:rsidRDefault="00CD47F3" w:rsidP="00CD47F3">
      <w:pPr>
        <w:pStyle w:val="af5"/>
        <w:numPr>
          <w:ilvl w:val="0"/>
          <w:numId w:val="14"/>
        </w:numPr>
        <w:spacing w:before="120"/>
        <w:ind w:left="690" w:hanging="240"/>
        <w:rPr>
          <w:rFonts w:ascii="宋体" w:eastAsia="宋体" w:hAnsi="Times New Roman"/>
          <w:color w:val="000000"/>
        </w:rPr>
      </w:pPr>
      <w:r w:rsidRPr="00CD47F3">
        <w:rPr>
          <w:rFonts w:ascii="宋体" w:eastAsia="宋体" w:hAnsi="Times New Roman" w:hint="eastAsia"/>
          <w:color w:val="000000"/>
        </w:rPr>
        <w:t>胜利热电项目：代表</w:t>
      </w:r>
      <w:r w:rsidRPr="00CD47F3">
        <w:rPr>
          <w:rFonts w:ascii="宋体" w:eastAsia="宋体" w:hAnsi="Times New Roman"/>
          <w:color w:val="000000"/>
        </w:rPr>
        <w:t>Cathay International Limited，为其位于胜利的一个2X350MW电厂的新建提供法律服务。</w:t>
      </w:r>
    </w:p>
    <w:p w14:paraId="5E89D729" w14:textId="77777777" w:rsidR="00CD47F3" w:rsidRDefault="00CD47F3" w:rsidP="00CD47F3">
      <w:pPr>
        <w:pStyle w:val="af5"/>
        <w:numPr>
          <w:ilvl w:val="0"/>
          <w:numId w:val="15"/>
        </w:numPr>
        <w:spacing w:before="120"/>
        <w:ind w:left="690" w:hanging="240"/>
        <w:rPr>
          <w:rFonts w:ascii="宋体" w:eastAsia="宋体" w:hAnsi="Times New Roman"/>
          <w:color w:val="000000"/>
        </w:rPr>
      </w:pPr>
      <w:r w:rsidRPr="00CD47F3">
        <w:rPr>
          <w:rFonts w:ascii="宋体" w:eastAsia="宋体" w:hAnsi="Times New Roman" w:hint="eastAsia"/>
          <w:color w:val="000000"/>
        </w:rPr>
        <w:t>河南电力项目：代表西班牙国际银行，为其位于河南的</w:t>
      </w:r>
      <w:r w:rsidRPr="00CD47F3">
        <w:rPr>
          <w:rFonts w:ascii="宋体" w:eastAsia="宋体" w:hAnsi="Times New Roman"/>
          <w:color w:val="000000"/>
        </w:rPr>
        <w:t>2x125MW电力项目的再融资提供法律服务。</w:t>
      </w:r>
    </w:p>
    <w:p w14:paraId="2C915B5E" w14:textId="77777777" w:rsidR="00CD47F3" w:rsidRDefault="00CD47F3" w:rsidP="00CD47F3">
      <w:pPr>
        <w:pStyle w:val="af5"/>
        <w:numPr>
          <w:ilvl w:val="0"/>
          <w:numId w:val="16"/>
        </w:numPr>
        <w:spacing w:before="120"/>
        <w:ind w:left="690" w:hanging="240"/>
        <w:rPr>
          <w:rFonts w:ascii="宋体" w:eastAsia="宋体" w:hAnsi="Times New Roman"/>
          <w:color w:val="000000"/>
        </w:rPr>
      </w:pPr>
      <w:r w:rsidRPr="00CD47F3">
        <w:rPr>
          <w:rFonts w:ascii="宋体" w:eastAsia="宋体" w:hAnsi="Times New Roman" w:hint="eastAsia"/>
          <w:color w:val="000000"/>
        </w:rPr>
        <w:t>中山电力项目：代表</w:t>
      </w:r>
      <w:r w:rsidRPr="00CD47F3">
        <w:rPr>
          <w:rFonts w:ascii="宋体" w:eastAsia="宋体" w:hAnsi="Times New Roman"/>
          <w:color w:val="000000"/>
        </w:rPr>
        <w:t>Cathay International Limited，为其位于中山的2x125MW电力项目的再融资提供法律服务。</w:t>
      </w:r>
    </w:p>
    <w:p w14:paraId="48EC29ED" w14:textId="77777777" w:rsidR="00CD47F3" w:rsidRDefault="00CD47F3" w:rsidP="00CD47F3">
      <w:pPr>
        <w:pStyle w:val="af5"/>
        <w:numPr>
          <w:ilvl w:val="0"/>
          <w:numId w:val="17"/>
        </w:numPr>
        <w:spacing w:before="120"/>
        <w:ind w:left="690" w:hanging="240"/>
        <w:rPr>
          <w:rFonts w:ascii="宋体" w:eastAsia="宋体" w:hAnsi="Times New Roman"/>
          <w:color w:val="000000"/>
        </w:rPr>
      </w:pPr>
      <w:r w:rsidRPr="00CD47F3">
        <w:rPr>
          <w:rFonts w:ascii="宋体" w:eastAsia="宋体" w:hAnsi="Times New Roman" w:hint="eastAsia"/>
          <w:color w:val="000000"/>
        </w:rPr>
        <w:t>锦州电厂项目：代表一家项目公司，为其位于锦州的</w:t>
      </w:r>
      <w:r w:rsidRPr="00CD47F3">
        <w:rPr>
          <w:rFonts w:ascii="宋体" w:eastAsia="宋体" w:hAnsi="Times New Roman"/>
          <w:color w:val="000000"/>
        </w:rPr>
        <w:t>6x220MW电力项目的再融资提供法律服务。</w:t>
      </w:r>
    </w:p>
    <w:p w14:paraId="1D5E1515" w14:textId="77777777" w:rsidR="00CD47F3" w:rsidRDefault="00CD47F3" w:rsidP="00CD47F3">
      <w:pPr>
        <w:pStyle w:val="af5"/>
        <w:numPr>
          <w:ilvl w:val="0"/>
          <w:numId w:val="18"/>
        </w:numPr>
        <w:spacing w:before="120"/>
        <w:ind w:left="690" w:hanging="240"/>
        <w:rPr>
          <w:rFonts w:ascii="宋体" w:eastAsia="宋体" w:hAnsi="Times New Roman"/>
          <w:color w:val="000000"/>
        </w:rPr>
      </w:pPr>
      <w:r w:rsidRPr="00CD47F3">
        <w:rPr>
          <w:rFonts w:ascii="宋体" w:eastAsia="宋体" w:hAnsi="Times New Roman" w:hint="eastAsia"/>
          <w:color w:val="000000"/>
        </w:rPr>
        <w:t>向广东电网售电：代表中电集团，为其向广东电网长期供电安排提供法律服务。</w:t>
      </w:r>
    </w:p>
    <w:p w14:paraId="1A7E1653" w14:textId="77777777" w:rsidR="00CD47F3" w:rsidRDefault="00CD47F3" w:rsidP="00CD47F3">
      <w:pPr>
        <w:pStyle w:val="af5"/>
        <w:spacing w:before="120"/>
        <w:rPr>
          <w:rFonts w:ascii="宋体" w:eastAsia="宋体" w:hAnsi="Times New Roman"/>
          <w:color w:val="000000"/>
        </w:rPr>
      </w:pPr>
      <w:r w:rsidRPr="00CD47F3">
        <w:rPr>
          <w:rFonts w:ascii="宋体" w:eastAsia="宋体" w:hAnsi="Times New Roman" w:hint="eastAsia"/>
          <w:color w:val="000000"/>
        </w:rPr>
        <w:t>石油，天然气和石化项目</w:t>
      </w:r>
    </w:p>
    <w:p w14:paraId="1FFB0881" w14:textId="77777777" w:rsidR="00CD47F3" w:rsidRDefault="00CD47F3" w:rsidP="00CD47F3">
      <w:pPr>
        <w:pStyle w:val="af5"/>
        <w:numPr>
          <w:ilvl w:val="0"/>
          <w:numId w:val="19"/>
        </w:numPr>
        <w:spacing w:before="120"/>
        <w:ind w:left="690" w:hanging="240"/>
        <w:rPr>
          <w:rFonts w:ascii="宋体" w:eastAsia="宋体" w:hAnsi="Times New Roman"/>
          <w:color w:val="000000"/>
        </w:rPr>
      </w:pPr>
      <w:r w:rsidRPr="00CD47F3">
        <w:rPr>
          <w:rFonts w:ascii="宋体" w:eastAsia="宋体" w:hAnsi="Times New Roman" w:hint="eastAsia"/>
          <w:color w:val="000000"/>
        </w:rPr>
        <w:t>大鹏液化天然气接收站码头项目：代表香港电灯有限公司，为其大鹏液化天然气接收站码头项目的新建开发提供法律服务。这是中国首个外商投资的液化天然气接收站码头项目。</w:t>
      </w:r>
    </w:p>
    <w:p w14:paraId="25088C3A" w14:textId="77777777" w:rsidR="00CD47F3" w:rsidRDefault="00CD47F3" w:rsidP="00CD47F3">
      <w:pPr>
        <w:pStyle w:val="af5"/>
        <w:numPr>
          <w:ilvl w:val="0"/>
          <w:numId w:val="20"/>
        </w:numPr>
        <w:spacing w:before="120"/>
        <w:ind w:left="690" w:hanging="240"/>
        <w:rPr>
          <w:rFonts w:ascii="宋体" w:eastAsia="宋体" w:hAnsi="Times New Roman"/>
          <w:color w:val="000000"/>
        </w:rPr>
      </w:pPr>
      <w:r w:rsidRPr="00CD47F3">
        <w:rPr>
          <w:rFonts w:ascii="宋体" w:eastAsia="宋体" w:hAnsi="Times New Roman" w:hint="eastAsia"/>
          <w:color w:val="000000"/>
        </w:rPr>
        <w:t>亚马尔液化天然气接收站码头项目：代表中国环保能源，为其与</w:t>
      </w:r>
      <w:r w:rsidRPr="00CD47F3">
        <w:rPr>
          <w:rFonts w:ascii="宋体" w:eastAsia="宋体" w:hAnsi="Times New Roman"/>
          <w:color w:val="000000"/>
        </w:rPr>
        <w:t>Gazprombank和Gunvor成立合资企业，以促进中石油收购联咏科技于俄罗斯亚马尔液化天然气接收站码头的项目中的 20％权益的项目提供法律服务。</w:t>
      </w:r>
    </w:p>
    <w:p w14:paraId="7074B700" w14:textId="77777777" w:rsidR="00CD47F3" w:rsidRDefault="00CD47F3" w:rsidP="00CD47F3">
      <w:pPr>
        <w:pStyle w:val="af5"/>
        <w:numPr>
          <w:ilvl w:val="0"/>
          <w:numId w:val="21"/>
        </w:numPr>
        <w:spacing w:before="120"/>
        <w:ind w:left="690" w:hanging="240"/>
        <w:rPr>
          <w:rFonts w:ascii="宋体" w:eastAsia="宋体" w:hAnsi="Times New Roman"/>
          <w:color w:val="000000"/>
        </w:rPr>
      </w:pPr>
      <w:r w:rsidRPr="00CD47F3">
        <w:rPr>
          <w:rFonts w:ascii="宋体" w:eastAsia="宋体" w:hAnsi="Times New Roman" w:hint="eastAsia"/>
          <w:color w:val="000000"/>
        </w:rPr>
        <w:t>中海油收费安排：代表香港电灯有限公司，为其与中海油通过大鹏液化天然气接收站码头输送的第</w:t>
      </w:r>
      <w:r w:rsidRPr="00CD47F3">
        <w:rPr>
          <w:rFonts w:ascii="宋体" w:eastAsia="宋体" w:hAnsi="Times New Roman"/>
          <w:color w:val="000000"/>
        </w:rPr>
        <w:t>2阶段天然气的收费安排提供法律服务。</w:t>
      </w:r>
    </w:p>
    <w:p w14:paraId="673CFB71" w14:textId="77777777" w:rsidR="00CD47F3" w:rsidRDefault="00CD47F3" w:rsidP="00CD47F3">
      <w:pPr>
        <w:pStyle w:val="af5"/>
        <w:numPr>
          <w:ilvl w:val="0"/>
          <w:numId w:val="22"/>
        </w:numPr>
        <w:spacing w:before="120"/>
        <w:ind w:left="690" w:hanging="240"/>
        <w:rPr>
          <w:rFonts w:ascii="宋体" w:eastAsia="宋体" w:hAnsi="Times New Roman"/>
          <w:color w:val="000000"/>
        </w:rPr>
      </w:pPr>
      <w:r w:rsidRPr="00CD47F3">
        <w:rPr>
          <w:rFonts w:ascii="宋体" w:eastAsia="宋体" w:hAnsi="Times New Roman" w:hint="eastAsia"/>
          <w:color w:val="000000"/>
        </w:rPr>
        <w:t>大鹏液化天然气供应纠纷：代表香港电灯有限公司，就上游供应商们与大鹏液化天然气接收站码头公司之间有关大鹏液化天然气接收站码头的液化天然气长期供应的持续纠纷提供法律服务。</w:t>
      </w:r>
    </w:p>
    <w:p w14:paraId="0582C378" w14:textId="77777777" w:rsidR="00CD47F3" w:rsidRDefault="00CD47F3" w:rsidP="00CD47F3">
      <w:pPr>
        <w:pStyle w:val="af5"/>
        <w:numPr>
          <w:ilvl w:val="0"/>
          <w:numId w:val="23"/>
        </w:numPr>
        <w:spacing w:before="120"/>
        <w:ind w:left="690" w:hanging="240"/>
        <w:rPr>
          <w:rFonts w:ascii="宋体" w:eastAsia="宋体" w:hAnsi="Times New Roman"/>
          <w:color w:val="000000"/>
        </w:rPr>
      </w:pPr>
      <w:r w:rsidRPr="00CD47F3">
        <w:rPr>
          <w:rFonts w:ascii="宋体" w:eastAsia="宋体" w:hAnsi="Times New Roman" w:hint="eastAsia"/>
          <w:color w:val="000000"/>
        </w:rPr>
        <w:t>雪佛龙于汕头的液化石油气码头项目：代表雪佛龙，处置其位于汕头的拥有液化石油气仓储和货运码头资产的液化天然气接收站码头之项目提供法律服务。</w:t>
      </w:r>
    </w:p>
    <w:p w14:paraId="407E0B98" w14:textId="77777777" w:rsidR="00CD47F3" w:rsidRDefault="00CD47F3" w:rsidP="00CD47F3">
      <w:pPr>
        <w:pStyle w:val="af5"/>
        <w:numPr>
          <w:ilvl w:val="0"/>
          <w:numId w:val="24"/>
        </w:numPr>
        <w:spacing w:before="120"/>
        <w:ind w:left="690" w:hanging="240"/>
        <w:rPr>
          <w:rFonts w:ascii="宋体" w:eastAsia="宋体" w:hAnsi="Times New Roman"/>
          <w:color w:val="000000"/>
        </w:rPr>
      </w:pPr>
      <w:r w:rsidRPr="00CD47F3">
        <w:rPr>
          <w:rFonts w:ascii="宋体" w:eastAsia="宋体" w:hAnsi="Times New Roman" w:hint="eastAsia"/>
          <w:color w:val="000000"/>
        </w:rPr>
        <w:t>雪佛龙于广州的合资加油站：代表雪佛龙，为其位于广州的加油站资产的重组，以及中信资源对该等资产的潜在投资提供法律服务。</w:t>
      </w:r>
    </w:p>
    <w:p w14:paraId="2288117C" w14:textId="77777777" w:rsidR="00CD47F3" w:rsidRDefault="00CD47F3" w:rsidP="00CD47F3">
      <w:pPr>
        <w:pStyle w:val="af5"/>
        <w:numPr>
          <w:ilvl w:val="0"/>
          <w:numId w:val="25"/>
        </w:numPr>
        <w:spacing w:before="120"/>
        <w:ind w:left="690" w:hanging="240"/>
        <w:rPr>
          <w:rFonts w:ascii="宋体" w:eastAsia="宋体" w:hAnsi="Times New Roman"/>
          <w:color w:val="000000"/>
        </w:rPr>
      </w:pPr>
      <w:r w:rsidRPr="00CD47F3">
        <w:rPr>
          <w:rFonts w:ascii="宋体" w:eastAsia="宋体" w:hAnsi="Times New Roman" w:hint="eastAsia"/>
          <w:color w:val="000000"/>
        </w:rPr>
        <w:t>萨索尔（</w:t>
      </w:r>
      <w:r w:rsidRPr="00CD47F3">
        <w:rPr>
          <w:rFonts w:ascii="宋体" w:eastAsia="宋体" w:hAnsi="Times New Roman"/>
          <w:color w:val="000000"/>
        </w:rPr>
        <w:t>Sasol）煤制油项目：代表萨索尔（Sasol），为其于中国拟设立的煤制油项目以及注入相关的专有液化技术提供法律服务。</w:t>
      </w:r>
    </w:p>
    <w:p w14:paraId="0B0F921D" w14:textId="77777777" w:rsidR="00CD47F3" w:rsidRDefault="00CD47F3" w:rsidP="00CD47F3">
      <w:pPr>
        <w:pStyle w:val="af5"/>
        <w:numPr>
          <w:ilvl w:val="0"/>
          <w:numId w:val="26"/>
        </w:numPr>
        <w:spacing w:before="120"/>
        <w:ind w:left="690" w:hanging="240"/>
        <w:rPr>
          <w:rFonts w:ascii="宋体" w:eastAsia="宋体" w:hAnsi="Times New Roman"/>
          <w:color w:val="000000"/>
        </w:rPr>
      </w:pPr>
      <w:r w:rsidRPr="00CD47F3">
        <w:rPr>
          <w:rFonts w:ascii="宋体" w:eastAsia="宋体" w:hAnsi="Times New Roman" w:hint="eastAsia"/>
          <w:color w:val="000000"/>
        </w:rPr>
        <w:t>南沙石化和炼油一体化项目：代表陶氏化学为其于中国广东省南沙的一百亿美元石化和炼油一体化项目提供法律服务。</w:t>
      </w:r>
    </w:p>
    <w:p w14:paraId="7B8145DC" w14:textId="77777777" w:rsidR="00CD47F3" w:rsidRDefault="00CD47F3" w:rsidP="00CD47F3">
      <w:pPr>
        <w:pStyle w:val="af5"/>
        <w:numPr>
          <w:ilvl w:val="0"/>
          <w:numId w:val="27"/>
        </w:numPr>
        <w:spacing w:before="120"/>
        <w:ind w:left="690" w:hanging="240"/>
        <w:rPr>
          <w:rFonts w:ascii="宋体" w:eastAsia="宋体" w:hAnsi="Times New Roman"/>
          <w:color w:val="000000"/>
        </w:rPr>
      </w:pPr>
      <w:r w:rsidRPr="00CD47F3">
        <w:rPr>
          <w:rFonts w:ascii="宋体" w:eastAsia="宋体" w:hAnsi="Times New Roman" w:hint="eastAsia"/>
          <w:color w:val="000000"/>
        </w:rPr>
        <w:t>于广州的液化气配气网络：代表中国工商银行深圳分行，为其作为一家中外合资企业于中国南部建设液化气配气网络融资的贷款人提供法律服务。</w:t>
      </w:r>
    </w:p>
    <w:p w14:paraId="61437B7D" w14:textId="77777777" w:rsidR="00CD47F3" w:rsidRDefault="00CD47F3" w:rsidP="00CD47F3">
      <w:pPr>
        <w:pStyle w:val="af5"/>
        <w:numPr>
          <w:ilvl w:val="0"/>
          <w:numId w:val="28"/>
        </w:numPr>
        <w:spacing w:before="120"/>
        <w:ind w:left="690" w:hanging="240"/>
        <w:rPr>
          <w:rFonts w:ascii="宋体" w:eastAsia="宋体" w:hAnsi="Times New Roman"/>
          <w:color w:val="000000"/>
        </w:rPr>
      </w:pPr>
      <w:r w:rsidRPr="00CD47F3">
        <w:rPr>
          <w:rFonts w:ascii="宋体" w:eastAsia="宋体" w:hAnsi="Times New Roman" w:hint="eastAsia"/>
          <w:color w:val="000000"/>
        </w:rPr>
        <w:t>石油钻井再融资项目：代表莎茵油气公司（</w:t>
      </w:r>
      <w:r w:rsidRPr="00CD47F3">
        <w:rPr>
          <w:rFonts w:ascii="宋体" w:eastAsia="宋体" w:hAnsi="Times New Roman"/>
          <w:color w:val="000000"/>
        </w:rPr>
        <w:t>Schahin Oil and Gas），为其位于中国的由烟台船厂正在兴建的两个石油钻井再融资项目提供法律服务。</w:t>
      </w:r>
    </w:p>
    <w:p w14:paraId="27D9163C" w14:textId="77777777" w:rsidR="00CD47F3" w:rsidRDefault="00CD47F3" w:rsidP="00CD47F3">
      <w:pPr>
        <w:pStyle w:val="af5"/>
        <w:spacing w:before="120"/>
        <w:rPr>
          <w:rFonts w:ascii="宋体" w:eastAsia="宋体" w:hAnsi="Times New Roman"/>
          <w:color w:val="000000"/>
        </w:rPr>
      </w:pPr>
      <w:r w:rsidRPr="00CD47F3">
        <w:rPr>
          <w:rFonts w:ascii="宋体" w:eastAsia="宋体" w:hAnsi="Times New Roman" w:hint="eastAsia"/>
          <w:color w:val="000000"/>
        </w:rPr>
        <w:t>基础建设项目</w:t>
      </w:r>
    </w:p>
    <w:p w14:paraId="79791161" w14:textId="77777777" w:rsidR="00CD47F3" w:rsidRDefault="00CD47F3" w:rsidP="00CD47F3">
      <w:pPr>
        <w:pStyle w:val="af5"/>
        <w:numPr>
          <w:ilvl w:val="0"/>
          <w:numId w:val="29"/>
        </w:numPr>
        <w:spacing w:before="120"/>
        <w:ind w:left="690" w:hanging="240"/>
        <w:rPr>
          <w:rFonts w:ascii="宋体" w:eastAsia="宋体" w:hAnsi="Times New Roman"/>
          <w:color w:val="000000"/>
        </w:rPr>
      </w:pPr>
      <w:r w:rsidRPr="00CD47F3">
        <w:rPr>
          <w:rFonts w:ascii="宋体" w:eastAsia="宋体" w:hAnsi="Times New Roman" w:hint="eastAsia"/>
          <w:color w:val="000000"/>
        </w:rPr>
        <w:t>吉布提</w:t>
      </w:r>
      <w:r w:rsidRPr="00CD47F3">
        <w:rPr>
          <w:rFonts w:ascii="宋体" w:eastAsia="宋体" w:hAnsi="Times New Roman"/>
          <w:color w:val="000000"/>
        </w:rPr>
        <w:t>48平方公里自由贸易区项目：代表招商局集团，为其于吉布提48平方公里自由贸易区项目的新建开发及特许协议以及基础设施配套提供法律服务。</w:t>
      </w:r>
    </w:p>
    <w:p w14:paraId="67227E81" w14:textId="77777777" w:rsidR="00CD47F3" w:rsidRDefault="00CD47F3" w:rsidP="00CD47F3">
      <w:pPr>
        <w:pStyle w:val="af5"/>
        <w:numPr>
          <w:ilvl w:val="0"/>
          <w:numId w:val="30"/>
        </w:numPr>
        <w:spacing w:before="120"/>
        <w:ind w:left="690" w:hanging="240"/>
        <w:rPr>
          <w:rFonts w:ascii="宋体" w:eastAsia="宋体" w:hAnsi="Times New Roman"/>
          <w:color w:val="000000"/>
        </w:rPr>
      </w:pPr>
      <w:r w:rsidRPr="00CD47F3">
        <w:rPr>
          <w:rFonts w:ascii="宋体" w:eastAsia="宋体" w:hAnsi="Times New Roman" w:hint="eastAsia"/>
          <w:color w:val="000000"/>
        </w:rPr>
        <w:t>吉布提收费公路项目：代表招商局集团，为其于吉布提</w:t>
      </w:r>
      <w:r w:rsidRPr="00CD47F3">
        <w:rPr>
          <w:rFonts w:ascii="宋体" w:eastAsia="宋体" w:hAnsi="Times New Roman"/>
          <w:color w:val="000000"/>
        </w:rPr>
        <w:t>242公里长收费公路 项目的翻新和建设提供法律服务。</w:t>
      </w:r>
    </w:p>
    <w:p w14:paraId="56D535A5" w14:textId="77777777" w:rsidR="00CD47F3" w:rsidRDefault="00CD47F3" w:rsidP="00CD47F3">
      <w:pPr>
        <w:pStyle w:val="af5"/>
        <w:numPr>
          <w:ilvl w:val="0"/>
          <w:numId w:val="31"/>
        </w:numPr>
        <w:spacing w:before="120"/>
        <w:ind w:left="690" w:hanging="240"/>
        <w:rPr>
          <w:rFonts w:ascii="宋体" w:eastAsia="宋体" w:hAnsi="Times New Roman"/>
          <w:color w:val="000000"/>
        </w:rPr>
      </w:pPr>
      <w:r w:rsidRPr="00CD47F3">
        <w:rPr>
          <w:rFonts w:ascii="宋体" w:eastAsia="宋体" w:hAnsi="Times New Roman" w:hint="eastAsia"/>
          <w:color w:val="000000"/>
        </w:rPr>
        <w:t>大鹏液化天然气接收站码头项目：代表香港电灯有限公司，为其大鹏液化天然气接收站码头项目的新建开发提供法律服务。这是中国首个外商投资的液化天然气接收站码头项目。</w:t>
      </w:r>
    </w:p>
    <w:p w14:paraId="284FF211" w14:textId="77777777" w:rsidR="00CD47F3" w:rsidRDefault="00CD47F3" w:rsidP="00CD47F3">
      <w:pPr>
        <w:pStyle w:val="af5"/>
        <w:numPr>
          <w:ilvl w:val="0"/>
          <w:numId w:val="32"/>
        </w:numPr>
        <w:spacing w:before="120"/>
        <w:ind w:left="690" w:hanging="240"/>
        <w:rPr>
          <w:rFonts w:ascii="宋体" w:eastAsia="宋体" w:hAnsi="Times New Roman"/>
          <w:color w:val="000000"/>
        </w:rPr>
      </w:pPr>
      <w:r w:rsidRPr="00CD47F3">
        <w:rPr>
          <w:rFonts w:ascii="宋体" w:eastAsia="宋体" w:hAnsi="Times New Roman" w:hint="eastAsia"/>
          <w:color w:val="000000"/>
        </w:rPr>
        <w:t>武汉港码头项目：代表香港置地，为其于武汉和浙江港口码头资产的收购及后续资产处置提供法律服务。</w:t>
      </w:r>
    </w:p>
    <w:p w14:paraId="51275602" w14:textId="77777777" w:rsidR="00CD47F3" w:rsidRDefault="00CD47F3" w:rsidP="00CD47F3">
      <w:pPr>
        <w:pStyle w:val="af5"/>
        <w:numPr>
          <w:ilvl w:val="0"/>
          <w:numId w:val="33"/>
        </w:numPr>
        <w:spacing w:before="120"/>
        <w:ind w:left="690" w:hanging="240"/>
        <w:rPr>
          <w:rFonts w:ascii="宋体" w:eastAsia="宋体" w:hAnsi="Times New Roman"/>
          <w:color w:val="000000"/>
        </w:rPr>
      </w:pPr>
      <w:r w:rsidRPr="00CD47F3">
        <w:rPr>
          <w:rFonts w:ascii="宋体" w:eastAsia="宋体" w:hAnsi="Times New Roman" w:hint="eastAsia"/>
          <w:color w:val="000000"/>
        </w:rPr>
        <w:t>深圳和高栏港码头项目：代表和记黄埔，为其收购在广东的港口码头资产提供法律服务。</w:t>
      </w:r>
    </w:p>
    <w:p w14:paraId="729CC5DB" w14:textId="77777777" w:rsidR="00CD47F3" w:rsidRDefault="00CD47F3" w:rsidP="00CD47F3">
      <w:pPr>
        <w:pStyle w:val="af5"/>
        <w:numPr>
          <w:ilvl w:val="0"/>
          <w:numId w:val="34"/>
        </w:numPr>
        <w:spacing w:before="120"/>
        <w:ind w:left="690" w:hanging="240"/>
        <w:rPr>
          <w:rFonts w:ascii="宋体" w:eastAsia="宋体" w:hAnsi="Times New Roman"/>
          <w:color w:val="000000"/>
        </w:rPr>
      </w:pPr>
      <w:r w:rsidRPr="00CD47F3">
        <w:rPr>
          <w:rFonts w:ascii="宋体" w:eastAsia="宋体" w:hAnsi="Times New Roman" w:hint="eastAsia"/>
          <w:color w:val="000000"/>
        </w:rPr>
        <w:t>水处理及污水项目：代表</w:t>
      </w:r>
      <w:r w:rsidRPr="00CD47F3">
        <w:rPr>
          <w:rFonts w:ascii="宋体" w:eastAsia="宋体" w:hAnsi="Times New Roman"/>
          <w:color w:val="000000"/>
        </w:rPr>
        <w:t>Cathay International Limited，为其16间自来水厂（设计的总处理能力为每天2.344兆吨）的建设、运营及承购提供法律服务。</w:t>
      </w:r>
    </w:p>
    <w:p w14:paraId="7E673DE8" w14:textId="77777777" w:rsidR="00CD47F3" w:rsidRDefault="00CD47F3" w:rsidP="00CD47F3">
      <w:pPr>
        <w:pStyle w:val="af5"/>
        <w:numPr>
          <w:ilvl w:val="0"/>
          <w:numId w:val="35"/>
        </w:numPr>
        <w:spacing w:before="120"/>
        <w:ind w:left="690" w:hanging="240"/>
        <w:rPr>
          <w:rFonts w:ascii="宋体" w:eastAsia="宋体" w:hAnsi="Times New Roman"/>
          <w:color w:val="000000"/>
        </w:rPr>
      </w:pPr>
      <w:r w:rsidRPr="00CD47F3">
        <w:rPr>
          <w:rFonts w:ascii="宋体" w:eastAsia="宋体" w:hAnsi="Times New Roman" w:hint="eastAsia"/>
          <w:color w:val="000000"/>
        </w:rPr>
        <w:t>广清高速公路及肇庆高速公路项目：代表</w:t>
      </w:r>
      <w:r w:rsidRPr="00CD47F3">
        <w:rPr>
          <w:rFonts w:ascii="宋体" w:eastAsia="宋体" w:hAnsi="Times New Roman"/>
          <w:color w:val="000000"/>
        </w:rPr>
        <w:t>Cathay International Limited，为其高速公路建设项目，包括施工合同以及附属协议的起草及谈判提供法律服务。</w:t>
      </w:r>
    </w:p>
    <w:p w14:paraId="4C1FF314" w14:textId="77777777" w:rsidR="00CD47F3" w:rsidRDefault="00CD47F3" w:rsidP="00CD47F3">
      <w:pPr>
        <w:pStyle w:val="af5"/>
        <w:spacing w:before="120"/>
        <w:rPr>
          <w:rFonts w:ascii="宋体" w:eastAsia="宋体" w:hAnsi="Times New Roman"/>
          <w:color w:val="000000"/>
        </w:rPr>
      </w:pPr>
      <w:r w:rsidRPr="00CD47F3">
        <w:rPr>
          <w:rFonts w:ascii="宋体" w:eastAsia="宋体" w:hAnsi="Times New Roman" w:hint="eastAsia"/>
          <w:color w:val="000000"/>
        </w:rPr>
        <w:t>零售商业房地产</w:t>
      </w:r>
    </w:p>
    <w:p w14:paraId="17398C0D" w14:textId="77777777" w:rsidR="00CD47F3" w:rsidRDefault="00CD47F3" w:rsidP="00CD47F3">
      <w:pPr>
        <w:pStyle w:val="af5"/>
        <w:numPr>
          <w:ilvl w:val="0"/>
          <w:numId w:val="36"/>
        </w:numPr>
        <w:spacing w:before="120"/>
        <w:ind w:left="690" w:hanging="240"/>
        <w:rPr>
          <w:rFonts w:ascii="宋体" w:eastAsia="宋体" w:hAnsi="Times New Roman"/>
          <w:color w:val="000000"/>
        </w:rPr>
      </w:pPr>
      <w:r w:rsidRPr="00CD47F3">
        <w:rPr>
          <w:rFonts w:ascii="宋体" w:eastAsia="宋体" w:hAnsi="Times New Roman" w:hint="eastAsia"/>
          <w:color w:val="000000"/>
        </w:rPr>
        <w:t>香港置地于北京王府井的零售商场开发项目：代表香港置地（怡和集团旗下一家知名的国际房地产开发商），就其于中国北京王府井地区为占地</w:t>
      </w:r>
      <w:r w:rsidRPr="00CD47F3">
        <w:rPr>
          <w:rFonts w:ascii="宋体" w:eastAsia="宋体" w:hAnsi="Times New Roman"/>
          <w:color w:val="000000"/>
        </w:rPr>
        <w:t>30公顷的综合零售商场和80间客房的文华东方酒店斥资600亿人民币进行的新建、开发和融资，向其提供法律服务。该项目是香港置地在中国的旗舰商业开发项目。</w:t>
      </w:r>
    </w:p>
    <w:p w14:paraId="3A3C92F1" w14:textId="77777777" w:rsidR="00CD47F3" w:rsidRDefault="00CD47F3" w:rsidP="00CD47F3">
      <w:pPr>
        <w:pStyle w:val="af5"/>
        <w:numPr>
          <w:ilvl w:val="0"/>
          <w:numId w:val="37"/>
        </w:numPr>
        <w:spacing w:before="120"/>
        <w:ind w:left="690" w:hanging="240"/>
        <w:rPr>
          <w:rFonts w:ascii="宋体" w:eastAsia="宋体" w:hAnsi="Times New Roman"/>
          <w:color w:val="000000"/>
        </w:rPr>
      </w:pPr>
      <w:r w:rsidRPr="00CD47F3">
        <w:rPr>
          <w:rFonts w:ascii="宋体" w:eastAsia="宋体" w:hAnsi="Times New Roman" w:hint="eastAsia"/>
          <w:color w:val="000000"/>
        </w:rPr>
        <w:t>美国花旗银行：就花旗银行在马尼拉的一座按预定规格建造的</w:t>
      </w:r>
      <w:r w:rsidRPr="00CD47F3">
        <w:rPr>
          <w:rFonts w:ascii="宋体" w:eastAsia="宋体" w:hAnsi="Times New Roman"/>
          <w:color w:val="000000"/>
        </w:rPr>
        <w:t>24层办公大楼的竣工风险管理、装修、搬迁和占用提供法律服务。该大厦将由一家迪拜-菲律宾开发财团建设，并附带购买选择权。该大厦建成后将成为花旗银行在马尼拉的总部。</w:t>
      </w:r>
    </w:p>
    <w:p w14:paraId="6132CA69" w14:textId="77777777" w:rsidR="00CD47F3" w:rsidRDefault="00CD47F3" w:rsidP="00CD47F3">
      <w:pPr>
        <w:pStyle w:val="af5"/>
        <w:numPr>
          <w:ilvl w:val="0"/>
          <w:numId w:val="38"/>
        </w:numPr>
        <w:spacing w:before="120"/>
        <w:ind w:left="690" w:hanging="240"/>
        <w:rPr>
          <w:rFonts w:ascii="宋体" w:eastAsia="宋体" w:hAnsi="Times New Roman"/>
          <w:color w:val="000000"/>
        </w:rPr>
      </w:pPr>
      <w:r w:rsidRPr="00CD47F3">
        <w:rPr>
          <w:rFonts w:ascii="宋体" w:eastAsia="宋体" w:hAnsi="Times New Roman" w:hint="eastAsia"/>
          <w:color w:val="000000"/>
        </w:rPr>
        <w:t>美国花旗银行：就花旗银行在印尼南雅加达的一座在建的</w:t>
      </w:r>
      <w:r w:rsidRPr="00CD47F3">
        <w:rPr>
          <w:rFonts w:ascii="宋体" w:eastAsia="宋体" w:hAnsi="Times New Roman"/>
          <w:color w:val="000000"/>
        </w:rPr>
        <w:t>12层A级办公大楼的办公及小额银行空间的竣工风险管理、装修、搬迁和占用提供法律服务。</w:t>
      </w:r>
    </w:p>
    <w:p w14:paraId="141EEF49" w14:textId="77777777" w:rsidR="00CD47F3" w:rsidRDefault="00CD47F3" w:rsidP="00CD47F3">
      <w:pPr>
        <w:pStyle w:val="af5"/>
        <w:numPr>
          <w:ilvl w:val="0"/>
          <w:numId w:val="39"/>
        </w:numPr>
        <w:spacing w:before="120"/>
        <w:ind w:left="690" w:hanging="240"/>
        <w:rPr>
          <w:rFonts w:ascii="宋体" w:eastAsia="宋体" w:hAnsi="Times New Roman"/>
          <w:color w:val="000000"/>
        </w:rPr>
      </w:pPr>
      <w:r w:rsidRPr="00CD47F3">
        <w:rPr>
          <w:rFonts w:ascii="宋体" w:eastAsia="宋体" w:hAnsi="Times New Roman" w:hint="eastAsia"/>
          <w:color w:val="000000"/>
        </w:rPr>
        <w:t>美国花旗银行：就花旗银行在印尼雅加达的一座正在兴建的</w:t>
      </w:r>
      <w:r w:rsidRPr="00CD47F3">
        <w:rPr>
          <w:rFonts w:ascii="宋体" w:eastAsia="宋体" w:hAnsi="Times New Roman"/>
          <w:color w:val="000000"/>
        </w:rPr>
        <w:t>13层A级办公大楼的办公及小额银行空间的竣工风险管理、商业及零售占用提供法律服务。该办公大楼由一家总部在香港的房地产开发商兴建。</w:t>
      </w:r>
    </w:p>
    <w:p w14:paraId="2C339CBA" w14:textId="77777777" w:rsidR="00CD47F3" w:rsidRDefault="00CD47F3" w:rsidP="00CD47F3">
      <w:pPr>
        <w:pStyle w:val="af5"/>
        <w:numPr>
          <w:ilvl w:val="0"/>
          <w:numId w:val="40"/>
        </w:numPr>
        <w:spacing w:before="120"/>
        <w:ind w:left="690" w:hanging="240"/>
        <w:rPr>
          <w:rFonts w:ascii="宋体" w:eastAsia="宋体" w:hAnsi="Times New Roman"/>
          <w:color w:val="000000"/>
        </w:rPr>
      </w:pPr>
      <w:r w:rsidRPr="00CD47F3">
        <w:rPr>
          <w:rFonts w:ascii="宋体" w:eastAsia="宋体" w:hAnsi="Times New Roman" w:hint="eastAsia"/>
          <w:color w:val="000000"/>
        </w:rPr>
        <w:t>香港置地于北京商业区办公大楼的开发：就香港置地合资开发位于中国北京朝阳区的一座</w:t>
      </w:r>
      <w:r w:rsidRPr="00CD47F3">
        <w:rPr>
          <w:rFonts w:ascii="宋体" w:eastAsia="宋体" w:hAnsi="Times New Roman"/>
          <w:color w:val="000000"/>
        </w:rPr>
        <w:t>A级办公大楼提供法律服务。</w:t>
      </w:r>
    </w:p>
    <w:p w14:paraId="651DE38D" w14:textId="77777777" w:rsidR="00CD47F3" w:rsidRDefault="00CD47F3" w:rsidP="00CD47F3">
      <w:pPr>
        <w:pStyle w:val="af5"/>
        <w:numPr>
          <w:ilvl w:val="0"/>
          <w:numId w:val="41"/>
        </w:numPr>
        <w:spacing w:before="120"/>
        <w:ind w:left="690" w:hanging="240"/>
        <w:rPr>
          <w:rFonts w:ascii="宋体" w:eastAsia="宋体" w:hAnsi="Times New Roman"/>
          <w:color w:val="000000"/>
        </w:rPr>
      </w:pPr>
      <w:r w:rsidRPr="00CD47F3">
        <w:rPr>
          <w:rFonts w:ascii="宋体" w:eastAsia="宋体" w:hAnsi="Times New Roman" w:hint="eastAsia"/>
          <w:color w:val="000000"/>
        </w:rPr>
        <w:t>阿里巴巴</w:t>
      </w:r>
      <w:r w:rsidRPr="00CD47F3">
        <w:rPr>
          <w:rFonts w:ascii="宋体" w:eastAsia="宋体" w:hAnsi="Times New Roman"/>
          <w:color w:val="000000"/>
        </w:rPr>
        <w:t>9号展厅的设计和建设：代表纽约建筑设计公司Ralph Appelbaum Associates，就其为在中国杭州的阿里巴巴9号展厅的设计和建设提供法律意见。</w:t>
      </w:r>
    </w:p>
    <w:p w14:paraId="360D3B41" w14:textId="77777777" w:rsidR="00CD47F3" w:rsidRDefault="00CD47F3" w:rsidP="00CD47F3">
      <w:pPr>
        <w:pStyle w:val="af5"/>
        <w:numPr>
          <w:ilvl w:val="0"/>
          <w:numId w:val="42"/>
        </w:numPr>
        <w:spacing w:before="120"/>
        <w:ind w:left="690" w:hanging="240"/>
        <w:rPr>
          <w:rFonts w:ascii="宋体" w:eastAsia="宋体" w:hAnsi="Times New Roman"/>
          <w:color w:val="000000"/>
        </w:rPr>
      </w:pPr>
      <w:r w:rsidRPr="00CD47F3">
        <w:rPr>
          <w:rFonts w:ascii="宋体" w:eastAsia="宋体" w:hAnsi="Times New Roman" w:hint="eastAsia"/>
          <w:color w:val="000000"/>
        </w:rPr>
        <w:t>零售商业和住宅综合体的收购：代表麦格理房地产和基建基金，就其收购位于成都、重庆、深圳和沈阳的多用途零售商业购物中心提供法律服务。</w:t>
      </w:r>
    </w:p>
    <w:p w14:paraId="7277AB61" w14:textId="77777777" w:rsidR="00CD47F3" w:rsidRDefault="00CD47F3" w:rsidP="00CD47F3">
      <w:pPr>
        <w:pStyle w:val="af5"/>
        <w:numPr>
          <w:ilvl w:val="0"/>
          <w:numId w:val="43"/>
        </w:numPr>
        <w:spacing w:before="120"/>
        <w:ind w:left="690" w:hanging="240"/>
        <w:rPr>
          <w:rFonts w:ascii="宋体" w:eastAsia="宋体" w:hAnsi="Times New Roman"/>
          <w:color w:val="000000"/>
        </w:rPr>
      </w:pPr>
      <w:r w:rsidRPr="00CD47F3">
        <w:rPr>
          <w:rFonts w:ascii="宋体" w:eastAsia="宋体" w:hAnsi="Times New Roman" w:hint="eastAsia"/>
          <w:color w:val="000000"/>
        </w:rPr>
        <w:t>家得宝（</w:t>
      </w:r>
      <w:r w:rsidRPr="00CD47F3">
        <w:rPr>
          <w:rFonts w:ascii="宋体" w:eastAsia="宋体" w:hAnsi="Times New Roman"/>
          <w:color w:val="000000"/>
        </w:rPr>
        <w:t>Home Depot）零售商店：代表家得宝，就其通过收购13家Home Way家居用品连锁商店进入中国零售市场提供法律服务。</w:t>
      </w:r>
    </w:p>
    <w:p w14:paraId="5855715F" w14:textId="77777777" w:rsidR="00CD47F3" w:rsidRDefault="00CD47F3" w:rsidP="00CD47F3">
      <w:pPr>
        <w:pStyle w:val="af5"/>
        <w:spacing w:before="120"/>
        <w:rPr>
          <w:rFonts w:ascii="宋体" w:eastAsia="宋体" w:hAnsi="Times New Roman"/>
          <w:color w:val="000000"/>
        </w:rPr>
      </w:pPr>
      <w:r w:rsidRPr="00CD47F3">
        <w:rPr>
          <w:rFonts w:ascii="宋体" w:eastAsia="宋体" w:hAnsi="Times New Roman" w:hint="eastAsia"/>
          <w:color w:val="000000"/>
        </w:rPr>
        <w:t>矿业项目</w:t>
      </w:r>
    </w:p>
    <w:p w14:paraId="5B897696" w14:textId="77777777" w:rsidR="00CD47F3" w:rsidRDefault="00CD47F3" w:rsidP="00CD47F3">
      <w:pPr>
        <w:pStyle w:val="af5"/>
        <w:numPr>
          <w:ilvl w:val="0"/>
          <w:numId w:val="44"/>
        </w:numPr>
        <w:spacing w:before="120"/>
        <w:ind w:left="690" w:hanging="240"/>
        <w:rPr>
          <w:rFonts w:ascii="宋体" w:eastAsia="宋体" w:hAnsi="Times New Roman"/>
          <w:color w:val="000000"/>
        </w:rPr>
      </w:pPr>
      <w:r w:rsidRPr="00CD47F3">
        <w:rPr>
          <w:rFonts w:ascii="宋体" w:eastAsia="宋体" w:hAnsi="Times New Roman" w:hint="eastAsia"/>
          <w:color w:val="000000"/>
        </w:rPr>
        <w:t>印尼铜金矿：为一家印尼矿业公司就其以</w:t>
      </w:r>
      <w:r w:rsidRPr="00CD47F3">
        <w:rPr>
          <w:rFonts w:ascii="宋体" w:eastAsia="宋体" w:hAnsi="Times New Roman"/>
          <w:color w:val="000000"/>
        </w:rPr>
        <w:t>100亿美元购买在印尼苏门答腊岛的一个铜金矿的33%权益项目提供法律服务。</w:t>
      </w:r>
    </w:p>
    <w:p w14:paraId="5EAE9A9E" w14:textId="77777777" w:rsidR="00CD47F3" w:rsidRDefault="00CD47F3" w:rsidP="00CD47F3">
      <w:pPr>
        <w:pStyle w:val="af5"/>
        <w:numPr>
          <w:ilvl w:val="0"/>
          <w:numId w:val="45"/>
        </w:numPr>
        <w:spacing w:before="120"/>
        <w:ind w:left="690" w:hanging="240"/>
        <w:rPr>
          <w:rFonts w:ascii="宋体" w:eastAsia="宋体" w:hAnsi="Times New Roman"/>
          <w:color w:val="000000"/>
        </w:rPr>
      </w:pPr>
      <w:r w:rsidRPr="00CD47F3">
        <w:rPr>
          <w:rFonts w:ascii="宋体" w:eastAsia="宋体" w:hAnsi="Times New Roman" w:hint="eastAsia"/>
          <w:color w:val="000000"/>
        </w:rPr>
        <w:t>古县煤矿合资企业：为英美资源集团（</w:t>
      </w:r>
      <w:r w:rsidRPr="00CD47F3">
        <w:rPr>
          <w:rFonts w:ascii="宋体" w:eastAsia="宋体" w:hAnsi="Times New Roman"/>
          <w:color w:val="000000"/>
        </w:rPr>
        <w:t>Anglo-America）就其收购一家位于中国山西省古县的新建开发煤矿项目的49%权益提供法律服务。</w:t>
      </w:r>
    </w:p>
    <w:p w14:paraId="4BC13F9C" w14:textId="77777777" w:rsidR="00CD47F3" w:rsidRDefault="00CD47F3" w:rsidP="00CD47F3">
      <w:pPr>
        <w:pStyle w:val="af5"/>
        <w:numPr>
          <w:ilvl w:val="0"/>
          <w:numId w:val="46"/>
        </w:numPr>
        <w:spacing w:before="120"/>
        <w:ind w:left="690" w:hanging="240"/>
        <w:rPr>
          <w:rFonts w:ascii="宋体" w:eastAsia="宋体" w:hAnsi="Times New Roman"/>
          <w:color w:val="000000"/>
        </w:rPr>
      </w:pPr>
      <w:r w:rsidRPr="00CD47F3">
        <w:rPr>
          <w:rFonts w:ascii="宋体" w:eastAsia="宋体" w:hAnsi="Times New Roman" w:hint="eastAsia"/>
          <w:color w:val="000000"/>
        </w:rPr>
        <w:t>西湾煤矿合资公司：为英美资源集团（</w:t>
      </w:r>
      <w:r w:rsidRPr="00CD47F3">
        <w:rPr>
          <w:rFonts w:ascii="宋体" w:eastAsia="宋体" w:hAnsi="Times New Roman"/>
          <w:color w:val="000000"/>
        </w:rPr>
        <w:t>Anglo-America）就在中国陕西省西湾的一个中外合资矿业项目提供法律服务。</w:t>
      </w:r>
    </w:p>
    <w:p w14:paraId="3889618F" w14:textId="77777777" w:rsidR="00CD47F3" w:rsidRDefault="00CD47F3" w:rsidP="00CD47F3">
      <w:pPr>
        <w:pStyle w:val="af5"/>
        <w:spacing w:before="120"/>
        <w:rPr>
          <w:rFonts w:ascii="宋体" w:eastAsia="宋体" w:hAnsi="Times New Roman"/>
          <w:color w:val="000000"/>
        </w:rPr>
      </w:pPr>
      <w:r w:rsidRPr="00CD47F3">
        <w:rPr>
          <w:rFonts w:ascii="宋体" w:eastAsia="宋体" w:hAnsi="Times New Roman" w:hint="eastAsia"/>
          <w:color w:val="000000"/>
        </w:rPr>
        <w:t>公司并购</w:t>
      </w:r>
      <w:r w:rsidRPr="00CD47F3">
        <w:rPr>
          <w:rFonts w:ascii="宋体" w:eastAsia="宋体" w:hAnsi="Times New Roman"/>
          <w:color w:val="000000"/>
        </w:rPr>
        <w:t>/其他</w:t>
      </w:r>
    </w:p>
    <w:p w14:paraId="67309D3F" w14:textId="77777777" w:rsidR="00CD47F3" w:rsidRDefault="00CD47F3" w:rsidP="00CD47F3">
      <w:pPr>
        <w:pStyle w:val="af5"/>
        <w:numPr>
          <w:ilvl w:val="0"/>
          <w:numId w:val="47"/>
        </w:numPr>
        <w:spacing w:before="120"/>
        <w:ind w:left="690" w:hanging="240"/>
        <w:rPr>
          <w:rFonts w:ascii="宋体" w:eastAsia="宋体" w:hAnsi="Times New Roman"/>
          <w:color w:val="000000"/>
        </w:rPr>
      </w:pPr>
      <w:r w:rsidRPr="00CD47F3">
        <w:rPr>
          <w:rFonts w:ascii="宋体" w:eastAsia="宋体" w:hAnsi="Times New Roman" w:hint="eastAsia"/>
          <w:color w:val="000000"/>
        </w:rPr>
        <w:t>中信证券：为中信证券与四川高速（</w:t>
      </w:r>
      <w:r w:rsidRPr="00CD47F3">
        <w:rPr>
          <w:rFonts w:ascii="宋体" w:eastAsia="宋体" w:hAnsi="Times New Roman"/>
          <w:color w:val="000000"/>
        </w:rPr>
        <w:t>Sichuan Express）于中国深圳合资设立一家融资租赁企业提供法律服务。</w:t>
      </w:r>
    </w:p>
    <w:p w14:paraId="6A5C3DF9" w14:textId="77777777" w:rsidR="00CD47F3" w:rsidRDefault="00CD47F3" w:rsidP="00CD47F3">
      <w:pPr>
        <w:pStyle w:val="af5"/>
        <w:numPr>
          <w:ilvl w:val="0"/>
          <w:numId w:val="48"/>
        </w:numPr>
        <w:spacing w:before="120"/>
        <w:ind w:left="690" w:hanging="240"/>
        <w:rPr>
          <w:rFonts w:ascii="宋体" w:eastAsia="宋体" w:hAnsi="Times New Roman"/>
          <w:color w:val="000000"/>
        </w:rPr>
      </w:pPr>
      <w:r w:rsidRPr="00CD47F3">
        <w:rPr>
          <w:rFonts w:ascii="宋体" w:eastAsia="宋体" w:hAnsi="Times New Roman" w:hint="eastAsia"/>
          <w:color w:val="000000"/>
        </w:rPr>
        <w:t>商用汽车合资项目：代表沃尔沃（</w:t>
      </w:r>
      <w:r w:rsidRPr="00CD47F3">
        <w:rPr>
          <w:rFonts w:ascii="宋体" w:eastAsia="宋体" w:hAnsi="Times New Roman"/>
          <w:color w:val="000000"/>
        </w:rPr>
        <w:t>AB Volvo），就其商用车中国部门和东风汽车的商用汽车部门的兼并提供法律服务。该项交易涉及分拆超过300家东风汽车和尼桑汽车的原有合资公司以剥离资产成立一个全新的商用汽车部门。但是，出于商业原因，该项交易并未完成。</w:t>
      </w:r>
    </w:p>
    <w:p w14:paraId="2457EB94" w14:textId="77777777" w:rsidR="00CD47F3" w:rsidRDefault="00CD47F3" w:rsidP="00CD47F3">
      <w:pPr>
        <w:pStyle w:val="af5"/>
        <w:numPr>
          <w:ilvl w:val="0"/>
          <w:numId w:val="49"/>
        </w:numPr>
        <w:spacing w:before="120"/>
        <w:ind w:left="690" w:hanging="240"/>
        <w:rPr>
          <w:rFonts w:ascii="宋体" w:eastAsia="宋体" w:hAnsi="Times New Roman"/>
          <w:color w:val="000000"/>
        </w:rPr>
      </w:pPr>
      <w:r w:rsidRPr="00CD47F3">
        <w:rPr>
          <w:rFonts w:ascii="宋体" w:eastAsia="宋体" w:hAnsi="Times New Roman" w:hint="eastAsia"/>
          <w:color w:val="000000"/>
        </w:rPr>
        <w:t>重型机械合资项目：代表沃尔沃中国，就其于中国临工的中外重机械合资重组业务提供法律服务。</w:t>
      </w:r>
    </w:p>
    <w:p w14:paraId="22A00BBE" w14:textId="77777777" w:rsidR="00CD47F3" w:rsidRDefault="00CD47F3" w:rsidP="00CD47F3">
      <w:pPr>
        <w:pStyle w:val="af5"/>
        <w:numPr>
          <w:ilvl w:val="0"/>
          <w:numId w:val="50"/>
        </w:numPr>
        <w:spacing w:before="120"/>
        <w:ind w:left="690" w:hanging="240"/>
        <w:rPr>
          <w:rFonts w:ascii="宋体" w:eastAsia="宋体" w:hAnsi="Times New Roman"/>
          <w:color w:val="000000"/>
        </w:rPr>
      </w:pPr>
      <w:r w:rsidRPr="00CD47F3">
        <w:rPr>
          <w:rFonts w:ascii="宋体" w:eastAsia="宋体" w:hAnsi="Times New Roman" w:hint="eastAsia"/>
          <w:color w:val="000000"/>
        </w:rPr>
        <w:t>花旗银行收购广东发展银行：就花旗银行以</w:t>
      </w:r>
      <w:r w:rsidRPr="00CD47F3">
        <w:rPr>
          <w:rFonts w:ascii="宋体" w:eastAsia="宋体" w:hAnsi="Times New Roman"/>
          <w:color w:val="000000"/>
        </w:rPr>
        <w:t>30亿美元收购广东发展银行的收购行为，向花旗银行提供与中国法合规事项相关的法律意见。</w:t>
      </w:r>
    </w:p>
    <w:p w14:paraId="0FBE8F10" w14:textId="77777777" w:rsidR="00CD47F3" w:rsidRDefault="00CD47F3" w:rsidP="00CD47F3">
      <w:pPr>
        <w:pStyle w:val="af5"/>
        <w:numPr>
          <w:ilvl w:val="0"/>
          <w:numId w:val="51"/>
        </w:numPr>
        <w:spacing w:before="120"/>
        <w:ind w:left="690" w:hanging="240"/>
        <w:rPr>
          <w:rFonts w:ascii="宋体" w:eastAsia="宋体" w:hAnsi="Times New Roman"/>
          <w:color w:val="000000"/>
        </w:rPr>
      </w:pPr>
      <w:r w:rsidRPr="00CD47F3">
        <w:rPr>
          <w:rFonts w:ascii="宋体" w:eastAsia="宋体" w:hAnsi="Times New Roman" w:hint="eastAsia"/>
          <w:color w:val="000000"/>
        </w:rPr>
        <w:t>对机械合资公司的私募股权投资：代表高盛，就其收购一家机械合资公司</w:t>
      </w:r>
      <w:r w:rsidRPr="00CD47F3">
        <w:rPr>
          <w:rFonts w:ascii="宋体" w:eastAsia="宋体" w:hAnsi="Times New Roman"/>
          <w:color w:val="000000"/>
        </w:rPr>
        <w:t>20%的权益提供法律服务。</w:t>
      </w:r>
    </w:p>
    <w:p w14:paraId="79B445D8" w14:textId="77777777" w:rsidR="00CD47F3" w:rsidRDefault="00CD47F3" w:rsidP="00CD47F3">
      <w:pPr>
        <w:pStyle w:val="af5"/>
        <w:numPr>
          <w:ilvl w:val="0"/>
          <w:numId w:val="52"/>
        </w:numPr>
        <w:spacing w:before="120"/>
        <w:ind w:left="690" w:hanging="240"/>
        <w:rPr>
          <w:rFonts w:ascii="宋体" w:eastAsia="宋体" w:hAnsi="Times New Roman"/>
          <w:color w:val="000000"/>
        </w:rPr>
      </w:pPr>
      <w:r w:rsidRPr="00CD47F3">
        <w:rPr>
          <w:rFonts w:ascii="宋体" w:eastAsia="宋体" w:hAnsi="Times New Roman" w:hint="eastAsia"/>
          <w:color w:val="000000"/>
        </w:rPr>
        <w:t>铟的交易：为高盛就其为从事铟锭交易而设立一家合资公司提供法律服务。</w:t>
      </w:r>
    </w:p>
    <w:p w14:paraId="608F7976" w14:textId="77777777" w:rsidR="00CD47F3" w:rsidRDefault="00CD47F3" w:rsidP="00CD47F3">
      <w:pPr>
        <w:pStyle w:val="af5"/>
        <w:numPr>
          <w:ilvl w:val="0"/>
          <w:numId w:val="53"/>
        </w:numPr>
        <w:spacing w:before="120"/>
        <w:ind w:left="690" w:hanging="240"/>
        <w:rPr>
          <w:rFonts w:ascii="宋体" w:eastAsia="宋体" w:hAnsi="Times New Roman"/>
          <w:color w:val="000000"/>
        </w:rPr>
      </w:pPr>
      <w:r w:rsidRPr="00CD47F3">
        <w:rPr>
          <w:rFonts w:ascii="宋体" w:eastAsia="宋体" w:hAnsi="Times New Roman" w:hint="eastAsia"/>
          <w:color w:val="000000"/>
        </w:rPr>
        <w:t>棉花交易：为麦格理银行在中国保税仓储区内的棉花交易安排提供法律服务。</w:t>
      </w:r>
    </w:p>
    <w:p w14:paraId="16DA2332" w14:textId="77777777" w:rsidR="00CD47F3" w:rsidRDefault="00CD47F3" w:rsidP="00CD47F3">
      <w:pPr>
        <w:pStyle w:val="af5"/>
        <w:numPr>
          <w:ilvl w:val="0"/>
          <w:numId w:val="54"/>
        </w:numPr>
        <w:spacing w:before="120"/>
        <w:ind w:left="690" w:hanging="240"/>
        <w:rPr>
          <w:rFonts w:ascii="宋体" w:eastAsia="宋体" w:hAnsi="Times New Roman"/>
          <w:color w:val="000000"/>
        </w:rPr>
      </w:pPr>
      <w:r w:rsidRPr="00CD47F3">
        <w:rPr>
          <w:rFonts w:ascii="宋体" w:eastAsia="宋体" w:hAnsi="Times New Roman" w:hint="eastAsia"/>
          <w:color w:val="000000"/>
        </w:rPr>
        <w:t>贸易融资：代表渣打银行，就其与麦格理银行背靠背消费融资安排提供法律服务。</w:t>
      </w:r>
    </w:p>
    <w:p w14:paraId="4DEC3830" w14:textId="77777777" w:rsidR="00CD47F3" w:rsidRDefault="00CD47F3" w:rsidP="00CD47F3">
      <w:pPr>
        <w:pStyle w:val="af5"/>
        <w:spacing w:after="0" w:line="480" w:lineRule="auto"/>
        <w:rPr>
          <w:rFonts w:ascii="宋体" w:eastAsia="宋体" w:hAnsi="宋体"/>
          <w:b/>
          <w:sz w:val="24"/>
        </w:rPr>
      </w:pPr>
      <w:r w:rsidRPr="00CD47F3">
        <w:rPr>
          <w:rFonts w:ascii="宋体" w:eastAsia="宋体" w:hAnsi="宋体" w:hint="eastAsia"/>
          <w:b/>
          <w:sz w:val="24"/>
        </w:rPr>
        <w:t>教育背景</w:t>
      </w:r>
    </w:p>
    <w:p w14:paraId="562ADCFC" w14:textId="77777777" w:rsidR="00CD47F3" w:rsidRDefault="00CD47F3" w:rsidP="00CD47F3">
      <w:pPr>
        <w:pStyle w:val="af5"/>
        <w:numPr>
          <w:ilvl w:val="0"/>
          <w:numId w:val="55"/>
        </w:numPr>
        <w:spacing w:before="120"/>
        <w:ind w:left="690" w:hanging="240"/>
        <w:rPr>
          <w:rFonts w:ascii="宋体" w:eastAsia="宋体" w:hAnsi="Times New Roman"/>
          <w:color w:val="000000"/>
        </w:rPr>
      </w:pPr>
      <w:r w:rsidRPr="00CD47F3">
        <w:rPr>
          <w:rFonts w:ascii="宋体" w:eastAsia="宋体" w:hAnsi="Times New Roman" w:hint="eastAsia"/>
          <w:color w:val="000000"/>
        </w:rPr>
        <w:t>新南威尔士大学，法律学士</w:t>
      </w:r>
    </w:p>
    <w:p w14:paraId="7F1A4A97" w14:textId="77777777" w:rsidR="00CD47F3" w:rsidRDefault="00CD47F3" w:rsidP="00CD47F3">
      <w:pPr>
        <w:pStyle w:val="af5"/>
        <w:numPr>
          <w:ilvl w:val="0"/>
          <w:numId w:val="56"/>
        </w:numPr>
        <w:spacing w:before="120"/>
        <w:ind w:left="690" w:hanging="240"/>
        <w:rPr>
          <w:rFonts w:ascii="宋体" w:eastAsia="宋体" w:hAnsi="Times New Roman"/>
          <w:color w:val="000000"/>
        </w:rPr>
      </w:pPr>
      <w:r w:rsidRPr="00CD47F3">
        <w:rPr>
          <w:rFonts w:ascii="宋体" w:eastAsia="宋体" w:hAnsi="Times New Roman" w:hint="eastAsia"/>
          <w:color w:val="000000"/>
        </w:rPr>
        <w:t>新南威尔士大学，工程学学士</w:t>
      </w:r>
    </w:p>
    <w:p w14:paraId="47CA3A4E" w14:textId="77777777" w:rsidR="00CD47F3" w:rsidRDefault="00CD47F3" w:rsidP="00CD47F3">
      <w:pPr>
        <w:pStyle w:val="af5"/>
        <w:spacing w:after="0" w:line="480" w:lineRule="auto"/>
        <w:rPr>
          <w:rFonts w:ascii="宋体" w:eastAsia="宋体" w:hAnsi="宋体"/>
          <w:b/>
          <w:sz w:val="24"/>
        </w:rPr>
      </w:pPr>
      <w:r w:rsidRPr="00CD47F3">
        <w:rPr>
          <w:rFonts w:ascii="宋体" w:eastAsia="宋体" w:hAnsi="宋体" w:hint="eastAsia"/>
          <w:b/>
          <w:sz w:val="24"/>
        </w:rPr>
        <w:t>执业资格</w:t>
      </w:r>
    </w:p>
    <w:p w14:paraId="0A24B9C1" w14:textId="77777777" w:rsidR="00CD47F3" w:rsidRDefault="00CD47F3" w:rsidP="00CD47F3">
      <w:pPr>
        <w:pStyle w:val="af5"/>
        <w:numPr>
          <w:ilvl w:val="0"/>
          <w:numId w:val="57"/>
        </w:numPr>
        <w:spacing w:before="120"/>
        <w:ind w:left="690" w:hanging="240"/>
        <w:rPr>
          <w:rFonts w:ascii="宋体" w:eastAsia="宋体" w:hAnsi="Times New Roman"/>
          <w:color w:val="000000"/>
        </w:rPr>
      </w:pPr>
      <w:r w:rsidRPr="00CD47F3">
        <w:rPr>
          <w:rFonts w:ascii="宋体" w:eastAsia="宋体" w:hAnsi="Times New Roman" w:hint="eastAsia"/>
          <w:color w:val="000000"/>
        </w:rPr>
        <w:t>香港特别行政区执业律师资格</w:t>
      </w:r>
    </w:p>
    <w:p w14:paraId="68EC1FF6" w14:textId="77777777" w:rsidR="00CD47F3" w:rsidRDefault="00CD47F3" w:rsidP="00CD47F3">
      <w:pPr>
        <w:pStyle w:val="af5"/>
        <w:numPr>
          <w:ilvl w:val="0"/>
          <w:numId w:val="58"/>
        </w:numPr>
        <w:spacing w:before="120"/>
        <w:ind w:left="690" w:hanging="240"/>
        <w:rPr>
          <w:rFonts w:ascii="宋体" w:eastAsia="宋体" w:hAnsi="Times New Roman"/>
          <w:color w:val="000000"/>
        </w:rPr>
      </w:pPr>
      <w:r w:rsidRPr="00CD47F3">
        <w:rPr>
          <w:rFonts w:ascii="宋体" w:eastAsia="宋体" w:hAnsi="Times New Roman" w:hint="eastAsia"/>
          <w:color w:val="000000"/>
        </w:rPr>
        <w:t>澳大利亚新南威尔士州执业律师资格</w:t>
      </w:r>
    </w:p>
    <w:p w14:paraId="4DA2F5CF" w14:textId="77777777" w:rsidR="00CD47F3" w:rsidRDefault="00CD47F3" w:rsidP="00CD47F3">
      <w:pPr>
        <w:pStyle w:val="af5"/>
        <w:numPr>
          <w:ilvl w:val="0"/>
          <w:numId w:val="59"/>
        </w:numPr>
        <w:spacing w:before="120"/>
        <w:ind w:left="690" w:hanging="240"/>
        <w:rPr>
          <w:rFonts w:ascii="宋体" w:eastAsia="宋体" w:hAnsi="Times New Roman"/>
          <w:color w:val="000000"/>
        </w:rPr>
      </w:pPr>
      <w:r w:rsidRPr="00CD47F3">
        <w:rPr>
          <w:rFonts w:ascii="宋体" w:eastAsia="宋体" w:hAnsi="Times New Roman" w:hint="eastAsia"/>
          <w:color w:val="000000"/>
        </w:rPr>
        <w:t>英格兰及威尔士律师资格</w:t>
      </w:r>
    </w:p>
    <w:p w14:paraId="51CEE4C3" w14:textId="77777777" w:rsidR="00CD47F3" w:rsidRDefault="00CD47F3" w:rsidP="00CD47F3">
      <w:pPr>
        <w:pStyle w:val="af5"/>
        <w:spacing w:after="0" w:line="480" w:lineRule="auto"/>
        <w:rPr>
          <w:rFonts w:ascii="宋体" w:eastAsia="宋体" w:hAnsi="宋体"/>
          <w:b/>
          <w:sz w:val="24"/>
        </w:rPr>
      </w:pPr>
      <w:r w:rsidRPr="00CD47F3">
        <w:rPr>
          <w:rFonts w:ascii="宋体" w:eastAsia="宋体" w:hAnsi="宋体" w:hint="eastAsia"/>
          <w:b/>
          <w:sz w:val="24"/>
        </w:rPr>
        <w:t>工作语言</w:t>
      </w:r>
    </w:p>
    <w:p w14:paraId="5E4C37BB" w14:textId="77777777" w:rsidR="00CD47F3" w:rsidRDefault="00CD47F3" w:rsidP="00CD47F3">
      <w:pPr>
        <w:pStyle w:val="af5"/>
        <w:numPr>
          <w:ilvl w:val="0"/>
          <w:numId w:val="60"/>
        </w:numPr>
        <w:spacing w:before="120"/>
        <w:ind w:left="690" w:hanging="240"/>
        <w:rPr>
          <w:rFonts w:ascii="宋体" w:eastAsia="宋体" w:hAnsi="Times New Roman"/>
          <w:color w:val="000000"/>
        </w:rPr>
      </w:pPr>
      <w:r w:rsidRPr="00CD47F3">
        <w:rPr>
          <w:rFonts w:ascii="宋体" w:eastAsia="宋体" w:hAnsi="Times New Roman" w:hint="eastAsia"/>
          <w:color w:val="000000"/>
        </w:rPr>
        <w:t>英语</w:t>
      </w:r>
    </w:p>
    <w:p w14:paraId="4156768A" w14:textId="77777777" w:rsidR="00CD47F3" w:rsidRDefault="00CD47F3" w:rsidP="00CD47F3">
      <w:pPr>
        <w:pStyle w:val="af5"/>
        <w:numPr>
          <w:ilvl w:val="0"/>
          <w:numId w:val="61"/>
        </w:numPr>
        <w:spacing w:before="120"/>
        <w:ind w:left="690" w:hanging="240"/>
        <w:rPr>
          <w:rFonts w:ascii="宋体" w:eastAsia="宋体" w:hAnsi="Times New Roman"/>
          <w:color w:val="000000"/>
        </w:rPr>
      </w:pPr>
      <w:r w:rsidRPr="00CD47F3">
        <w:rPr>
          <w:rFonts w:ascii="宋体" w:eastAsia="宋体" w:hAnsi="Times New Roman" w:hint="eastAsia"/>
          <w:color w:val="000000"/>
        </w:rPr>
        <w:t>普通话</w:t>
      </w:r>
    </w:p>
    <w:p w14:paraId="533D3C42" w14:textId="77777777" w:rsidR="00CD47F3" w:rsidRDefault="00CD47F3" w:rsidP="00CD47F3">
      <w:pPr>
        <w:pStyle w:val="af5"/>
        <w:numPr>
          <w:ilvl w:val="0"/>
          <w:numId w:val="62"/>
        </w:numPr>
        <w:spacing w:before="120"/>
        <w:ind w:left="690" w:hanging="240"/>
        <w:rPr>
          <w:rFonts w:ascii="宋体" w:eastAsia="宋体" w:hAnsi="Times New Roman"/>
          <w:color w:val="000000"/>
        </w:rPr>
      </w:pPr>
      <w:r w:rsidRPr="00CD47F3">
        <w:rPr>
          <w:rFonts w:ascii="宋体" w:eastAsia="宋体" w:hAnsi="Times New Roman" w:hint="eastAsia"/>
          <w:color w:val="000000"/>
        </w:rPr>
        <w:t>粤语</w:t>
      </w:r>
    </w:p>
    <w:p w14:paraId="01327C45" w14:textId="77777777" w:rsidR="00CD47F3" w:rsidRDefault="00CD47F3" w:rsidP="00CD47F3">
      <w:pPr>
        <w:pStyle w:val="af5"/>
        <w:spacing w:after="0" w:line="480" w:lineRule="auto"/>
        <w:rPr>
          <w:rFonts w:ascii="宋体" w:eastAsia="宋体" w:hAnsi="宋体"/>
          <w:b/>
          <w:sz w:val="24"/>
        </w:rPr>
      </w:pPr>
      <w:r w:rsidRPr="00CD47F3">
        <w:rPr>
          <w:rFonts w:ascii="宋体" w:eastAsia="宋体" w:hAnsi="宋体" w:hint="eastAsia"/>
          <w:b/>
          <w:sz w:val="24"/>
        </w:rPr>
        <w:t>职业背景</w:t>
      </w:r>
    </w:p>
    <w:p w14:paraId="01C28F21" w14:textId="77777777" w:rsidR="00CD47F3" w:rsidRDefault="00CD47F3" w:rsidP="00CD47F3">
      <w:pPr>
        <w:pStyle w:val="af5"/>
        <w:numPr>
          <w:ilvl w:val="0"/>
          <w:numId w:val="63"/>
        </w:numPr>
        <w:spacing w:before="120"/>
        <w:ind w:left="690" w:hanging="240"/>
        <w:rPr>
          <w:rFonts w:ascii="宋体" w:eastAsia="宋体" w:hAnsi="Times New Roman"/>
          <w:color w:val="000000"/>
        </w:rPr>
      </w:pPr>
      <w:r w:rsidRPr="00CD47F3">
        <w:rPr>
          <w:rFonts w:ascii="宋体" w:eastAsia="宋体" w:hAnsi="Times New Roman" w:hint="eastAsia"/>
          <w:color w:val="000000"/>
        </w:rPr>
        <w:t>在</w:t>
      </w:r>
      <w:r w:rsidRPr="00CD47F3">
        <w:rPr>
          <w:rFonts w:ascii="宋体" w:eastAsia="宋体" w:hAnsi="Times New Roman"/>
          <w:color w:val="000000"/>
        </w:rPr>
        <w:t>2016年加入方达之前，谭律师于2011年至2015年担任谭国彦律师事务所（与英国博闻律师事务所联营）的创始合伙人；于2000年至2011年之间在年利达律师事务所工作；于1997年至2000年之间在高伟绅律师事务所工作。谭律师常年在The Legal 500和Who&amp;#39; s Who Legal中被评为顶尖律师。</w:t>
      </w:r>
    </w:p>
    <w:p w14:paraId="6C0FD3C9" w14:textId="77777777" w:rsidR="00CD47F3" w:rsidRDefault="00CD47F3" w:rsidP="00CD47F3">
      <w:pPr>
        <w:pStyle w:val="af5"/>
        <w:spacing w:after="0" w:line="480" w:lineRule="auto"/>
        <w:rPr>
          <w:rFonts w:ascii="宋体" w:eastAsia="宋体" w:hAnsi="宋体"/>
          <w:b/>
          <w:sz w:val="24"/>
        </w:rPr>
      </w:pPr>
      <w:r w:rsidRPr="00CD47F3">
        <w:rPr>
          <w:rFonts w:ascii="宋体" w:eastAsia="宋体" w:hAnsi="宋体" w:hint="eastAsia"/>
          <w:b/>
          <w:sz w:val="24"/>
        </w:rPr>
        <w:t>其他信息</w:t>
      </w:r>
    </w:p>
    <w:p w14:paraId="2ABE87F7" w14:textId="77777777" w:rsidR="00CD47F3" w:rsidRDefault="00CD47F3" w:rsidP="00CD47F3">
      <w:pPr>
        <w:pStyle w:val="af5"/>
        <w:spacing w:after="0" w:line="480" w:lineRule="auto"/>
        <w:rPr>
          <w:rFonts w:ascii="宋体" w:eastAsia="宋体" w:hAnsi="宋体"/>
          <w:b/>
          <w:sz w:val="24"/>
        </w:rPr>
      </w:pPr>
      <w:r w:rsidRPr="00CD47F3">
        <w:rPr>
          <w:rFonts w:ascii="宋体" w:eastAsia="宋体" w:hAnsi="宋体" w:hint="eastAsia"/>
          <w:b/>
          <w:sz w:val="24"/>
        </w:rPr>
        <w:t>出版物</w:t>
      </w:r>
    </w:p>
    <w:p w14:paraId="29A4509B" w14:textId="77777777" w:rsidR="00CD47F3" w:rsidRDefault="00CD47F3" w:rsidP="00CD47F3">
      <w:pPr>
        <w:pStyle w:val="af5"/>
        <w:numPr>
          <w:ilvl w:val="0"/>
          <w:numId w:val="64"/>
        </w:numPr>
        <w:spacing w:before="120"/>
        <w:ind w:left="690" w:hanging="240"/>
        <w:rPr>
          <w:rFonts w:ascii="宋体" w:eastAsia="宋体" w:hAnsi="Times New Roman"/>
          <w:color w:val="000000"/>
        </w:rPr>
      </w:pPr>
      <w:r w:rsidRPr="00CD47F3">
        <w:rPr>
          <w:rFonts w:ascii="宋体" w:eastAsia="宋体" w:hAnsi="Times New Roman"/>
          <w:color w:val="000000"/>
        </w:rPr>
        <w:t xml:space="preserve">美国商务部与非洲发展基金联合出版的《国际购电合同》一书的合著者。（http://cldp.doc.gov/sites/default/files/Understanding_Power_Purchase_Agreements.pdf） </w:t>
      </w:r>
    </w:p>
    <w:p w14:paraId="4EA444DD" w14:textId="77777777" w:rsidR="00CD47F3" w:rsidRDefault="00CD47F3" w:rsidP="00CD47F3">
      <w:pPr>
        <w:pStyle w:val="af5"/>
        <w:spacing w:after="0" w:line="480" w:lineRule="auto"/>
        <w:rPr>
          <w:rFonts w:ascii="宋体" w:eastAsia="宋体" w:hAnsi="宋体"/>
          <w:b/>
          <w:sz w:val="24"/>
        </w:rPr>
      </w:pPr>
      <w:r w:rsidRPr="00CD47F3">
        <w:rPr>
          <w:rFonts w:ascii="宋体" w:eastAsia="宋体" w:hAnsi="宋体" w:hint="eastAsia"/>
          <w:b/>
          <w:sz w:val="24"/>
        </w:rPr>
        <w:t>获奖情况</w:t>
      </w:r>
    </w:p>
    <w:p w14:paraId="2658D380" w14:textId="77777777" w:rsidR="00CD47F3" w:rsidRDefault="00CD47F3" w:rsidP="00CD47F3">
      <w:pPr>
        <w:pStyle w:val="af5"/>
        <w:numPr>
          <w:ilvl w:val="0"/>
          <w:numId w:val="65"/>
        </w:numPr>
        <w:spacing w:before="120"/>
        <w:ind w:left="690" w:hanging="240"/>
        <w:rPr>
          <w:rFonts w:ascii="宋体" w:eastAsia="宋体" w:hAnsi="Times New Roman"/>
          <w:color w:val="000000"/>
        </w:rPr>
      </w:pPr>
      <w:r w:rsidRPr="00CD47F3">
        <w:rPr>
          <w:rFonts w:ascii="宋体" w:eastAsia="宋体" w:hAnsi="Times New Roman"/>
          <w:color w:val="000000"/>
        </w:rPr>
        <w:t>The Legal 500 2016年房地产领域：谭律师</w:t>
      </w:r>
      <w:r w:rsidRPr="00CD47F3">
        <w:rPr>
          <w:rFonts w:ascii="宋体" w:eastAsia="宋体" w:hAnsi="Times New Roman"/>
          <w:color w:val="000000"/>
        </w:rPr>
        <w:t>“</w:t>
      </w:r>
      <w:r w:rsidRPr="00CD47F3">
        <w:rPr>
          <w:rFonts w:ascii="宋体" w:eastAsia="宋体" w:hAnsi="Times New Roman"/>
          <w:color w:val="000000"/>
        </w:rPr>
        <w:t>工作一丝不苟且极具商业敏锐度</w:t>
      </w:r>
      <w:r w:rsidRPr="00CD47F3">
        <w:rPr>
          <w:rFonts w:ascii="宋体" w:eastAsia="宋体" w:hAnsi="Times New Roman"/>
          <w:color w:val="000000"/>
        </w:rPr>
        <w:t>”</w:t>
      </w:r>
      <w:r w:rsidRPr="00CD47F3">
        <w:rPr>
          <w:rFonts w:ascii="宋体" w:eastAsia="宋体" w:hAnsi="Times New Roman"/>
          <w:color w:val="000000"/>
        </w:rPr>
        <w:t>，其</w:t>
      </w:r>
      <w:r w:rsidRPr="00CD47F3">
        <w:rPr>
          <w:rFonts w:ascii="宋体" w:eastAsia="宋体" w:hAnsi="Times New Roman"/>
          <w:color w:val="000000"/>
        </w:rPr>
        <w:t>“</w:t>
      </w:r>
      <w:r w:rsidRPr="00CD47F3">
        <w:rPr>
          <w:rFonts w:ascii="宋体" w:eastAsia="宋体" w:hAnsi="Times New Roman"/>
          <w:color w:val="000000"/>
        </w:rPr>
        <w:t>熟悉大中华区市场且兼备精湛的法律专业能力</w:t>
      </w:r>
      <w:r w:rsidRPr="00CD47F3">
        <w:rPr>
          <w:rFonts w:ascii="宋体" w:eastAsia="宋体" w:hAnsi="Times New Roman"/>
          <w:color w:val="000000"/>
        </w:rPr>
        <w:t>”</w:t>
      </w:r>
      <w:r w:rsidRPr="00CD47F3">
        <w:rPr>
          <w:rFonts w:ascii="宋体" w:eastAsia="宋体" w:hAnsi="Times New Roman"/>
          <w:color w:val="000000"/>
        </w:rPr>
        <w:t xml:space="preserve">。谭律师正在就香港置地于北京市中心王府井大街的大型商业零售开发提供法律服务 。 </w:t>
      </w:r>
    </w:p>
    <w:p w14:paraId="4F0A196B" w14:textId="509A2EFF" w:rsidR="00A46A04" w:rsidRPr="00CD47F3" w:rsidRDefault="00CD47F3" w:rsidP="00CD47F3">
      <w:pPr>
        <w:pStyle w:val="af5"/>
        <w:numPr>
          <w:ilvl w:val="0"/>
          <w:numId w:val="66"/>
        </w:numPr>
        <w:spacing w:before="120"/>
        <w:ind w:left="690" w:hanging="240"/>
        <w:rPr>
          <w:rFonts w:ascii="宋体" w:eastAsia="宋体" w:hAnsi="Times New Roman"/>
          <w:color w:val="000000"/>
        </w:rPr>
      </w:pPr>
      <w:r w:rsidRPr="00CD47F3">
        <w:rPr>
          <w:rFonts w:ascii="宋体" w:eastAsia="宋体" w:hAnsi="Times New Roman"/>
          <w:color w:val="000000"/>
        </w:rPr>
        <w:t xml:space="preserve">更多请见：http://www.legal500.com/c/hong-kong/real-state#sthash.vR545335.dpuf </w:t>
      </w:r>
      <w:r w:rsidRPr="00CD47F3">
        <w:rPr>
          <w:rFonts w:ascii="宋体" w:eastAsia="宋体" w:hAnsi="Times New Roman"/>
          <w:color w:val="000000"/>
        </w:rPr>
        <w:t>——</w:t>
      </w:r>
      <w:r w:rsidRPr="00CD47F3">
        <w:rPr>
          <w:rFonts w:ascii="宋体" w:eastAsia="宋体" w:hAnsi="Times New Roman"/>
          <w:color w:val="000000"/>
        </w:rPr>
        <w:t>《Who</w:t>
      </w:r>
      <w:r w:rsidRPr="00CD47F3">
        <w:rPr>
          <w:rFonts w:ascii="宋体" w:eastAsia="宋体" w:hAnsi="Times New Roman"/>
          <w:color w:val="000000"/>
        </w:rPr>
        <w:t>’</w:t>
      </w:r>
      <w:r w:rsidRPr="00CD47F3">
        <w:rPr>
          <w:rFonts w:ascii="宋体" w:eastAsia="宋体" w:hAnsi="Times New Roman"/>
          <w:color w:val="000000"/>
        </w:rPr>
        <w:t xml:space="preserve">s Who Legal 2015》- 房地产（亚太地区） </w:t>
      </w:r>
    </w:p>
    <w:sectPr w:rsidR="00A46A04" w:rsidRPr="00CD47F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67FF"/>
    <w:multiLevelType w:val="singleLevel"/>
    <w:tmpl w:val="5066AC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502C1"/>
    <w:multiLevelType w:val="singleLevel"/>
    <w:tmpl w:val="BA6AF5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0A4878"/>
    <w:multiLevelType w:val="singleLevel"/>
    <w:tmpl w:val="CA36FE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61AB4"/>
    <w:multiLevelType w:val="singleLevel"/>
    <w:tmpl w:val="26D89A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C73706"/>
    <w:multiLevelType w:val="singleLevel"/>
    <w:tmpl w:val="CDFCD0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B41FC7"/>
    <w:multiLevelType w:val="singleLevel"/>
    <w:tmpl w:val="748470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C6413F"/>
    <w:multiLevelType w:val="singleLevel"/>
    <w:tmpl w:val="E60C0C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981F8D"/>
    <w:multiLevelType w:val="singleLevel"/>
    <w:tmpl w:val="AF7E0B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502A18"/>
    <w:multiLevelType w:val="singleLevel"/>
    <w:tmpl w:val="25F6B1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C92F14"/>
    <w:multiLevelType w:val="singleLevel"/>
    <w:tmpl w:val="136448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504C41"/>
    <w:multiLevelType w:val="singleLevel"/>
    <w:tmpl w:val="ABA8B7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8A7FF7"/>
    <w:multiLevelType w:val="singleLevel"/>
    <w:tmpl w:val="3AFC473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703E51"/>
    <w:multiLevelType w:val="singleLevel"/>
    <w:tmpl w:val="8C1202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285C8F"/>
    <w:multiLevelType w:val="singleLevel"/>
    <w:tmpl w:val="430C9A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90437B"/>
    <w:multiLevelType w:val="singleLevel"/>
    <w:tmpl w:val="E5FED1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DE00CC"/>
    <w:multiLevelType w:val="singleLevel"/>
    <w:tmpl w:val="FC8C44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170062"/>
    <w:multiLevelType w:val="singleLevel"/>
    <w:tmpl w:val="69FEBDC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8865FA"/>
    <w:multiLevelType w:val="singleLevel"/>
    <w:tmpl w:val="27B6D6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C1570D"/>
    <w:multiLevelType w:val="singleLevel"/>
    <w:tmpl w:val="01CC5D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333FAC"/>
    <w:multiLevelType w:val="singleLevel"/>
    <w:tmpl w:val="B94046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334347"/>
    <w:multiLevelType w:val="singleLevel"/>
    <w:tmpl w:val="B5A06D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7B71D9"/>
    <w:multiLevelType w:val="singleLevel"/>
    <w:tmpl w:val="12CEBE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826A3B"/>
    <w:multiLevelType w:val="singleLevel"/>
    <w:tmpl w:val="7E9CCA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797D1F"/>
    <w:multiLevelType w:val="singleLevel"/>
    <w:tmpl w:val="9790EC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E865D8"/>
    <w:multiLevelType w:val="singleLevel"/>
    <w:tmpl w:val="0CC09B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5C51617"/>
    <w:multiLevelType w:val="singleLevel"/>
    <w:tmpl w:val="B900B7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7BA2C82"/>
    <w:multiLevelType w:val="singleLevel"/>
    <w:tmpl w:val="7A94E1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9B475C7"/>
    <w:multiLevelType w:val="singleLevel"/>
    <w:tmpl w:val="BBD8FF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D83BFA"/>
    <w:multiLevelType w:val="singleLevel"/>
    <w:tmpl w:val="C8AAA1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186056"/>
    <w:multiLevelType w:val="singleLevel"/>
    <w:tmpl w:val="A6FCB2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1E4682"/>
    <w:multiLevelType w:val="singleLevel"/>
    <w:tmpl w:val="5D50449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5567C4"/>
    <w:multiLevelType w:val="singleLevel"/>
    <w:tmpl w:val="8996C36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E97368"/>
    <w:multiLevelType w:val="singleLevel"/>
    <w:tmpl w:val="0F3AA8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47F7D65"/>
    <w:multiLevelType w:val="singleLevel"/>
    <w:tmpl w:val="542A2B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0A1F7E"/>
    <w:multiLevelType w:val="singleLevel"/>
    <w:tmpl w:val="1892DE5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2D5F2C"/>
    <w:multiLevelType w:val="singleLevel"/>
    <w:tmpl w:val="FD568C8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8F5E15"/>
    <w:multiLevelType w:val="singleLevel"/>
    <w:tmpl w:val="C5306EF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0B56D6F"/>
    <w:multiLevelType w:val="singleLevel"/>
    <w:tmpl w:val="E7C4FA6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C7190D"/>
    <w:multiLevelType w:val="singleLevel"/>
    <w:tmpl w:val="BC1AD0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2A4B65"/>
    <w:multiLevelType w:val="singleLevel"/>
    <w:tmpl w:val="45C057F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890E99"/>
    <w:multiLevelType w:val="singleLevel"/>
    <w:tmpl w:val="0BA87BD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2335C4"/>
    <w:multiLevelType w:val="singleLevel"/>
    <w:tmpl w:val="8C12020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5B54D48"/>
    <w:multiLevelType w:val="singleLevel"/>
    <w:tmpl w:val="C41ABA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5F15789"/>
    <w:multiLevelType w:val="singleLevel"/>
    <w:tmpl w:val="078A7E1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A757FD8"/>
    <w:multiLevelType w:val="singleLevel"/>
    <w:tmpl w:val="6974049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BE3694C"/>
    <w:multiLevelType w:val="singleLevel"/>
    <w:tmpl w:val="A9ACB47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C4C1269"/>
    <w:multiLevelType w:val="singleLevel"/>
    <w:tmpl w:val="1F98609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0E31F8C"/>
    <w:multiLevelType w:val="singleLevel"/>
    <w:tmpl w:val="E82203C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02403B"/>
    <w:multiLevelType w:val="singleLevel"/>
    <w:tmpl w:val="1A80071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60C3879"/>
    <w:multiLevelType w:val="singleLevel"/>
    <w:tmpl w:val="29C4BA0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6F504E3"/>
    <w:multiLevelType w:val="singleLevel"/>
    <w:tmpl w:val="3972182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84B5FC9"/>
    <w:multiLevelType w:val="singleLevel"/>
    <w:tmpl w:val="47C8388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B055F30"/>
    <w:multiLevelType w:val="singleLevel"/>
    <w:tmpl w:val="56C422A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B2F2DA1"/>
    <w:multiLevelType w:val="singleLevel"/>
    <w:tmpl w:val="DE922F2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BF7440C"/>
    <w:multiLevelType w:val="singleLevel"/>
    <w:tmpl w:val="C9FEC59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BF90BA1"/>
    <w:multiLevelType w:val="singleLevel"/>
    <w:tmpl w:val="4AEE186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CEF4FBF"/>
    <w:multiLevelType w:val="singleLevel"/>
    <w:tmpl w:val="998C382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D5E04CD"/>
    <w:multiLevelType w:val="singleLevel"/>
    <w:tmpl w:val="67465AB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DB57F1F"/>
    <w:multiLevelType w:val="singleLevel"/>
    <w:tmpl w:val="5278600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E853EA5"/>
    <w:multiLevelType w:val="singleLevel"/>
    <w:tmpl w:val="270076F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139582C"/>
    <w:multiLevelType w:val="singleLevel"/>
    <w:tmpl w:val="9CFACF8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46F1872"/>
    <w:multiLevelType w:val="singleLevel"/>
    <w:tmpl w:val="D1D08EF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96A1C0C"/>
    <w:multiLevelType w:val="singleLevel"/>
    <w:tmpl w:val="4BAC767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CA460DF"/>
    <w:multiLevelType w:val="singleLevel"/>
    <w:tmpl w:val="E326C64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370921"/>
    <w:multiLevelType w:val="singleLevel"/>
    <w:tmpl w:val="7564F5F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ED349DC"/>
    <w:multiLevelType w:val="singleLevel"/>
    <w:tmpl w:val="6FFA4BEC"/>
    <w:lvl w:ilvl="0">
      <w:start w:val="1"/>
      <w:numFmt w:val="bullet"/>
      <w:lvlText w:val=""/>
      <w:lvlJc w:val="left"/>
      <w:pPr>
        <w:tabs>
          <w:tab w:val="num" w:pos="200"/>
        </w:tabs>
        <w:ind w:left="200" w:hanging="200"/>
      </w:pPr>
      <w:rPr>
        <w:rFonts w:ascii="Wingdings" w:hAnsi="Wingdings" w:hint="default"/>
        <w:sz w:val="16"/>
      </w:rPr>
    </w:lvl>
  </w:abstractNum>
  <w:num w:numId="1">
    <w:abstractNumId w:val="55"/>
  </w:num>
  <w:num w:numId="2">
    <w:abstractNumId w:val="36"/>
  </w:num>
  <w:num w:numId="3">
    <w:abstractNumId w:val="46"/>
  </w:num>
  <w:num w:numId="4">
    <w:abstractNumId w:val="3"/>
  </w:num>
  <w:num w:numId="5">
    <w:abstractNumId w:val="4"/>
  </w:num>
  <w:num w:numId="6">
    <w:abstractNumId w:val="50"/>
  </w:num>
  <w:num w:numId="7">
    <w:abstractNumId w:val="21"/>
  </w:num>
  <w:num w:numId="8">
    <w:abstractNumId w:val="15"/>
  </w:num>
  <w:num w:numId="9">
    <w:abstractNumId w:val="18"/>
  </w:num>
  <w:num w:numId="10">
    <w:abstractNumId w:val="5"/>
  </w:num>
  <w:num w:numId="11">
    <w:abstractNumId w:val="49"/>
  </w:num>
  <w:num w:numId="12">
    <w:abstractNumId w:val="56"/>
  </w:num>
  <w:num w:numId="13">
    <w:abstractNumId w:val="39"/>
  </w:num>
  <w:num w:numId="14">
    <w:abstractNumId w:val="10"/>
  </w:num>
  <w:num w:numId="15">
    <w:abstractNumId w:val="52"/>
  </w:num>
  <w:num w:numId="16">
    <w:abstractNumId w:val="29"/>
  </w:num>
  <w:num w:numId="17">
    <w:abstractNumId w:val="25"/>
  </w:num>
  <w:num w:numId="18">
    <w:abstractNumId w:val="35"/>
  </w:num>
  <w:num w:numId="19">
    <w:abstractNumId w:val="58"/>
  </w:num>
  <w:num w:numId="20">
    <w:abstractNumId w:val="44"/>
  </w:num>
  <w:num w:numId="21">
    <w:abstractNumId w:val="20"/>
  </w:num>
  <w:num w:numId="22">
    <w:abstractNumId w:val="26"/>
  </w:num>
  <w:num w:numId="23">
    <w:abstractNumId w:val="1"/>
  </w:num>
  <w:num w:numId="24">
    <w:abstractNumId w:val="33"/>
  </w:num>
  <w:num w:numId="25">
    <w:abstractNumId w:val="38"/>
  </w:num>
  <w:num w:numId="26">
    <w:abstractNumId w:val="59"/>
  </w:num>
  <w:num w:numId="27">
    <w:abstractNumId w:val="17"/>
  </w:num>
  <w:num w:numId="28">
    <w:abstractNumId w:val="19"/>
  </w:num>
  <w:num w:numId="29">
    <w:abstractNumId w:val="27"/>
  </w:num>
  <w:num w:numId="30">
    <w:abstractNumId w:val="16"/>
  </w:num>
  <w:num w:numId="31">
    <w:abstractNumId w:val="30"/>
  </w:num>
  <w:num w:numId="32">
    <w:abstractNumId w:val="6"/>
  </w:num>
  <w:num w:numId="33">
    <w:abstractNumId w:val="34"/>
  </w:num>
  <w:num w:numId="34">
    <w:abstractNumId w:val="43"/>
  </w:num>
  <w:num w:numId="35">
    <w:abstractNumId w:val="13"/>
  </w:num>
  <w:num w:numId="36">
    <w:abstractNumId w:val="47"/>
  </w:num>
  <w:num w:numId="37">
    <w:abstractNumId w:val="14"/>
  </w:num>
  <w:num w:numId="38">
    <w:abstractNumId w:val="23"/>
  </w:num>
  <w:num w:numId="39">
    <w:abstractNumId w:val="37"/>
  </w:num>
  <w:num w:numId="40">
    <w:abstractNumId w:val="0"/>
  </w:num>
  <w:num w:numId="41">
    <w:abstractNumId w:val="45"/>
  </w:num>
  <w:num w:numId="42">
    <w:abstractNumId w:val="42"/>
  </w:num>
  <w:num w:numId="43">
    <w:abstractNumId w:val="28"/>
  </w:num>
  <w:num w:numId="44">
    <w:abstractNumId w:val="62"/>
  </w:num>
  <w:num w:numId="45">
    <w:abstractNumId w:val="9"/>
  </w:num>
  <w:num w:numId="46">
    <w:abstractNumId w:val="48"/>
  </w:num>
  <w:num w:numId="47">
    <w:abstractNumId w:val="65"/>
  </w:num>
  <w:num w:numId="48">
    <w:abstractNumId w:val="8"/>
  </w:num>
  <w:num w:numId="49">
    <w:abstractNumId w:val="51"/>
  </w:num>
  <w:num w:numId="50">
    <w:abstractNumId w:val="53"/>
  </w:num>
  <w:num w:numId="51">
    <w:abstractNumId w:val="61"/>
  </w:num>
  <w:num w:numId="52">
    <w:abstractNumId w:val="7"/>
  </w:num>
  <w:num w:numId="53">
    <w:abstractNumId w:val="24"/>
  </w:num>
  <w:num w:numId="54">
    <w:abstractNumId w:val="31"/>
  </w:num>
  <w:num w:numId="55">
    <w:abstractNumId w:val="63"/>
  </w:num>
  <w:num w:numId="56">
    <w:abstractNumId w:val="40"/>
  </w:num>
  <w:num w:numId="57">
    <w:abstractNumId w:val="22"/>
  </w:num>
  <w:num w:numId="58">
    <w:abstractNumId w:val="57"/>
  </w:num>
  <w:num w:numId="59">
    <w:abstractNumId w:val="60"/>
  </w:num>
  <w:num w:numId="60">
    <w:abstractNumId w:val="2"/>
  </w:num>
  <w:num w:numId="61">
    <w:abstractNumId w:val="11"/>
  </w:num>
  <w:num w:numId="62">
    <w:abstractNumId w:val="54"/>
  </w:num>
  <w:num w:numId="63">
    <w:abstractNumId w:val="32"/>
  </w:num>
  <w:num w:numId="64">
    <w:abstractNumId w:val="64"/>
  </w:num>
  <w:num w:numId="65">
    <w:abstractNumId w:val="41"/>
  </w:num>
  <w:num w:numId="66">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D47F3"/>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47F3"/>
    <w:pPr>
      <w:spacing w:after="120"/>
    </w:pPr>
  </w:style>
  <w:style w:type="character" w:customStyle="1" w:styleId="af6">
    <w:name w:val="正文文本 字符"/>
    <w:basedOn w:val="a0"/>
    <w:link w:val="af5"/>
    <w:uiPriority w:val="99"/>
    <w:rsid w:val="00CD47F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37C04-8B94-4A14-8D06-35F85AD6F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679</Words>
  <Characters>3873</Characters>
  <Application>Microsoft Office Word</Application>
  <DocSecurity>0</DocSecurity>
  <Lines>32</Lines>
  <Paragraphs>9</Paragraphs>
  <ScaleCrop>false</ScaleCrop>
  <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2026-05-31T01:30:00Z</dcterms:created>
  <dcterms:modified xsi:type="dcterms:W3CDTF">2026-05-31T01:30:00Z</dcterms:modified>
</cp:coreProperties>
</file>