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02DE0D" w:rsidR="0049405C" w:rsidRPr="00187BAA" w:rsidRDefault="00B0666B" w:rsidP="00B0666B">
            <w:pPr>
              <w:spacing w:line="720" w:lineRule="auto"/>
              <w:rPr>
                <w:rFonts w:ascii="宋体" w:eastAsia="宋体" w:hAnsi="宋体"/>
                <w:color w:val="545551"/>
              </w:rPr>
            </w:pPr>
            <w:bookmarkStart w:id="0" w:name="xingming"/>
            <w:bookmarkStart w:id="1" w:name="_GoBack"/>
            <w:bookmarkEnd w:id="1"/>
            <w:r w:rsidRPr="00B0666B">
              <w:rPr>
                <w:rFonts w:ascii="宋体" w:eastAsia="宋体" w:hAnsi="Times New Roman" w:hint="eastAsia"/>
                <w:b/>
                <w:color w:val="000000"/>
                <w:sz w:val="48"/>
              </w:rPr>
              <w:t>施巍</w:t>
            </w:r>
            <w:bookmarkEnd w:id="0"/>
          </w:p>
          <w:p w14:paraId="706EB16B" w14:textId="5B0D8F2F" w:rsidR="0049405C" w:rsidRPr="00187BAA" w:rsidRDefault="00B0666B" w:rsidP="00B0666B">
            <w:pPr>
              <w:spacing w:line="360" w:lineRule="auto"/>
              <w:rPr>
                <w:rFonts w:ascii="宋体" w:eastAsia="宋体" w:hAnsi="宋体"/>
                <w:b/>
                <w:bCs/>
                <w:color w:val="545551"/>
              </w:rPr>
            </w:pPr>
            <w:bookmarkStart w:id="2" w:name="didian"/>
            <w:r w:rsidRPr="00B0666B">
              <w:rPr>
                <w:rFonts w:ascii="宋体" w:eastAsia="宋体" w:hAnsi="Times New Roman" w:hint="eastAsia"/>
                <w:b/>
                <w:bCs/>
                <w:color w:val="000000"/>
              </w:rPr>
              <w:t>合伙人·上海</w:t>
            </w:r>
            <w:bookmarkEnd w:id="2"/>
          </w:p>
          <w:p w14:paraId="6199424A" w14:textId="323ADEA8" w:rsidR="0049405C" w:rsidRPr="00187BAA" w:rsidRDefault="00B0666B" w:rsidP="00B0666B">
            <w:pPr>
              <w:spacing w:line="360" w:lineRule="auto"/>
              <w:rPr>
                <w:rFonts w:ascii="宋体" w:eastAsia="宋体" w:hAnsi="宋体"/>
                <w:color w:val="545551"/>
              </w:rPr>
            </w:pPr>
            <w:bookmarkStart w:id="3" w:name="dianhua"/>
            <w:r w:rsidRPr="00B0666B">
              <w:rPr>
                <w:rFonts w:ascii="宋体" w:eastAsia="宋体" w:hAnsi="Times New Roman"/>
                <w:color w:val="000000"/>
              </w:rPr>
              <w:t xml:space="preserve">+86 21 2208 1109 </w:t>
            </w:r>
            <w:bookmarkEnd w:id="3"/>
          </w:p>
          <w:p w14:paraId="4F910ACA" w14:textId="177CB20B" w:rsidR="0049405C" w:rsidRPr="00187BAA" w:rsidRDefault="00B0666B" w:rsidP="00B0666B">
            <w:pPr>
              <w:spacing w:line="360" w:lineRule="auto"/>
              <w:rPr>
                <w:rFonts w:ascii="宋体" w:eastAsia="宋体" w:hAnsi="宋体"/>
                <w:color w:val="000000"/>
              </w:rPr>
            </w:pPr>
            <w:bookmarkStart w:id="4" w:name="youxiang"/>
            <w:r w:rsidRPr="00B0666B">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653638" w:rsidR="0049405C" w:rsidRPr="00187BAA" w:rsidRDefault="00B066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DDCBFF" wp14:editId="7298E7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B4756B" w:rsidR="009465FB" w:rsidRPr="00187BAA" w:rsidRDefault="00B0666B" w:rsidP="007177F3">
            <w:pPr>
              <w:rPr>
                <w:rFonts w:ascii="宋体" w:eastAsia="宋体" w:hAnsi="宋体"/>
                <w:color w:val="000000"/>
                <w:szCs w:val="21"/>
              </w:rPr>
            </w:pPr>
            <w:bookmarkStart w:id="6" w:name="zhiyelingyu"/>
            <w:r w:rsidRPr="00B0666B">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B0666B">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B544A1" w14:textId="77777777" w:rsidR="00B066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3D40B6" w14:textId="77777777" w:rsidR="00B0666B" w:rsidRDefault="00B0666B" w:rsidP="00B0666B">
      <w:pPr>
        <w:pStyle w:val="af5"/>
        <w:spacing w:before="120"/>
        <w:rPr>
          <w:rFonts w:ascii="宋体" w:eastAsia="宋体" w:hAnsi="Times New Roman"/>
          <w:color w:val="000000"/>
        </w:rPr>
      </w:pPr>
      <w:r w:rsidRPr="00B0666B">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34EC6966"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近期代理的主要案件</w:t>
      </w:r>
    </w:p>
    <w:p w14:paraId="1A804103" w14:textId="77777777" w:rsidR="00B0666B" w:rsidRDefault="00B0666B" w:rsidP="00B0666B">
      <w:pPr>
        <w:pStyle w:val="af5"/>
        <w:spacing w:before="120"/>
        <w:rPr>
          <w:rFonts w:ascii="宋体" w:eastAsia="宋体" w:hAnsi="Times New Roman"/>
          <w:color w:val="000000"/>
        </w:rPr>
      </w:pPr>
      <w:r w:rsidRPr="00B0666B">
        <w:rPr>
          <w:rFonts w:ascii="宋体" w:eastAsia="宋体" w:hAnsi="Times New Roman" w:hint="eastAsia"/>
          <w:color w:val="000000"/>
        </w:rPr>
        <w:t>收购和兼并</w:t>
      </w:r>
      <w:r w:rsidRPr="00B0666B">
        <w:rPr>
          <w:rFonts w:ascii="宋体" w:eastAsia="宋体" w:hAnsi="Times New Roman"/>
          <w:color w:val="000000"/>
        </w:rPr>
        <w:t>/股权交易</w:t>
      </w:r>
    </w:p>
    <w:p w14:paraId="7775E961" w14:textId="77777777" w:rsidR="00B0666B" w:rsidRDefault="00B0666B" w:rsidP="00B0666B">
      <w:pPr>
        <w:pStyle w:val="af5"/>
        <w:numPr>
          <w:ilvl w:val="0"/>
          <w:numId w:val="1"/>
        </w:numPr>
        <w:spacing w:before="120"/>
        <w:ind w:left="690" w:hanging="240"/>
        <w:rPr>
          <w:rFonts w:ascii="宋体" w:eastAsia="宋体" w:hAnsi="Times New Roman"/>
          <w:color w:val="000000"/>
        </w:rPr>
      </w:pPr>
      <w:r w:rsidRPr="00B0666B">
        <w:rPr>
          <w:rFonts w:ascii="宋体" w:eastAsia="宋体" w:hAnsi="Times New Roman" w:hint="eastAsia"/>
          <w:color w:val="000000"/>
        </w:rPr>
        <w:t>代表艾科联生物</w:t>
      </w:r>
      <w:r w:rsidRPr="00B0666B">
        <w:rPr>
          <w:rFonts w:ascii="宋体" w:eastAsia="宋体" w:hAnsi="Times New Roman"/>
          <w:color w:val="000000"/>
        </w:rPr>
        <w:t>Newco融资4100万元美元（由红杉中国、元生和杏泽领投），并许可引进乐普生物开发、生产与商业化两款T细胞衔接器管线的全球独家权利。</w:t>
      </w:r>
    </w:p>
    <w:p w14:paraId="1636F5E5" w14:textId="77777777" w:rsidR="00B0666B" w:rsidRDefault="00B0666B" w:rsidP="00B0666B">
      <w:pPr>
        <w:pStyle w:val="af5"/>
        <w:numPr>
          <w:ilvl w:val="0"/>
          <w:numId w:val="2"/>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46821C84" w14:textId="77777777" w:rsidR="00B0666B" w:rsidRDefault="00B0666B" w:rsidP="00B0666B">
      <w:pPr>
        <w:pStyle w:val="af5"/>
        <w:numPr>
          <w:ilvl w:val="0"/>
          <w:numId w:val="3"/>
        </w:numPr>
        <w:spacing w:before="120"/>
        <w:ind w:left="690" w:hanging="240"/>
        <w:rPr>
          <w:rFonts w:ascii="宋体" w:eastAsia="宋体" w:hAnsi="Times New Roman"/>
          <w:color w:val="000000"/>
        </w:rPr>
      </w:pPr>
      <w:r w:rsidRPr="00B0666B">
        <w:rPr>
          <w:rFonts w:ascii="宋体" w:eastAsia="宋体" w:hAnsi="Times New Roman" w:hint="eastAsia"/>
          <w:color w:val="000000"/>
        </w:rPr>
        <w:t>代表葆元医药，就其以全股票交易方式被一家纽交所上市公司</w:t>
      </w:r>
      <w:r w:rsidRPr="00B0666B">
        <w:rPr>
          <w:rFonts w:ascii="宋体" w:eastAsia="宋体" w:hAnsi="Times New Roman"/>
          <w:color w:val="000000"/>
        </w:rPr>
        <w:t>Nuvation Bio（纽交所股票代码：NUVB）完全收购提供法律服务。</w:t>
      </w:r>
    </w:p>
    <w:p w14:paraId="7EEC0997" w14:textId="77777777" w:rsidR="00B0666B" w:rsidRDefault="00B0666B" w:rsidP="00B0666B">
      <w:pPr>
        <w:pStyle w:val="af5"/>
        <w:numPr>
          <w:ilvl w:val="0"/>
          <w:numId w:val="4"/>
        </w:numPr>
        <w:spacing w:before="120"/>
        <w:ind w:left="690" w:hanging="240"/>
        <w:rPr>
          <w:rFonts w:ascii="宋体" w:eastAsia="宋体" w:hAnsi="Times New Roman"/>
          <w:color w:val="000000"/>
        </w:rPr>
      </w:pPr>
      <w:r w:rsidRPr="00B0666B">
        <w:rPr>
          <w:rFonts w:ascii="宋体" w:eastAsia="宋体" w:hAnsi="Times New Roman" w:hint="eastAsia"/>
          <w:color w:val="000000"/>
        </w:rPr>
        <w:t>代表葆元医药为其跨境重组以及</w:t>
      </w:r>
      <w:r w:rsidRPr="00B0666B">
        <w:rPr>
          <w:rFonts w:ascii="宋体" w:eastAsia="宋体" w:hAnsi="Times New Roman"/>
          <w:color w:val="000000"/>
        </w:rPr>
        <w:t>A+/A2/B/C轮私募融资事宜提供法律服务。</w:t>
      </w:r>
    </w:p>
    <w:p w14:paraId="5A4FF231" w14:textId="77777777" w:rsidR="00B0666B" w:rsidRDefault="00B0666B" w:rsidP="00B0666B">
      <w:pPr>
        <w:pStyle w:val="af5"/>
        <w:numPr>
          <w:ilvl w:val="0"/>
          <w:numId w:val="5"/>
        </w:numPr>
        <w:spacing w:before="120"/>
        <w:ind w:left="690" w:hanging="240"/>
        <w:rPr>
          <w:rFonts w:ascii="宋体" w:eastAsia="宋体" w:hAnsi="Times New Roman"/>
          <w:color w:val="000000"/>
        </w:rPr>
      </w:pPr>
      <w:r w:rsidRPr="00B0666B">
        <w:rPr>
          <w:rFonts w:ascii="宋体" w:eastAsia="宋体" w:hAnsi="Times New Roman" w:hint="eastAsia"/>
          <w:color w:val="000000"/>
        </w:rPr>
        <w:t>代表</w:t>
      </w:r>
      <w:r w:rsidRPr="00B0666B">
        <w:rPr>
          <w:rFonts w:ascii="宋体" w:eastAsia="宋体" w:hAnsi="Times New Roman"/>
          <w:color w:val="000000"/>
        </w:rPr>
        <w:t>ESR (益商红木集团)为其在中国对30+桩物流资产的收购/剥离项目提供法律服务。</w:t>
      </w:r>
    </w:p>
    <w:p w14:paraId="447EA0AC" w14:textId="77777777" w:rsidR="00B0666B" w:rsidRDefault="00B0666B" w:rsidP="00B0666B">
      <w:pPr>
        <w:pStyle w:val="af5"/>
        <w:numPr>
          <w:ilvl w:val="0"/>
          <w:numId w:val="6"/>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代表阿斯利康为其斥资上百亿人民币在青岛、泰州和无锡投资新生产设施提供法律服务。</w:t>
      </w:r>
    </w:p>
    <w:p w14:paraId="0E790FFD" w14:textId="77777777" w:rsidR="00B0666B" w:rsidRDefault="00B0666B" w:rsidP="00B0666B">
      <w:pPr>
        <w:pStyle w:val="af5"/>
        <w:numPr>
          <w:ilvl w:val="0"/>
          <w:numId w:val="7"/>
        </w:numPr>
        <w:spacing w:before="120"/>
        <w:ind w:left="690" w:hanging="240"/>
        <w:rPr>
          <w:rFonts w:ascii="宋体" w:eastAsia="宋体" w:hAnsi="Times New Roman"/>
          <w:color w:val="000000"/>
        </w:rPr>
      </w:pPr>
      <w:r w:rsidRPr="00B0666B">
        <w:rPr>
          <w:rFonts w:ascii="宋体" w:eastAsia="宋体" w:hAnsi="Times New Roman" w:hint="eastAsia"/>
          <w:color w:val="000000"/>
        </w:rPr>
        <w:t>代表</w:t>
      </w:r>
      <w:r w:rsidRPr="00B0666B">
        <w:rPr>
          <w:rFonts w:ascii="宋体" w:eastAsia="宋体" w:hAnsi="Times New Roman"/>
          <w:color w:val="000000"/>
        </w:rPr>
        <w:t>Redwood China Logistics Fund及其他卖方为他们向ESR和宏利金融集团设立的实体出售位于中国大陆的物流资产提供法律服务。</w:t>
      </w:r>
    </w:p>
    <w:p w14:paraId="2CA94636" w14:textId="77777777" w:rsidR="00B0666B" w:rsidRDefault="00B0666B" w:rsidP="00B0666B">
      <w:pPr>
        <w:pStyle w:val="af5"/>
        <w:numPr>
          <w:ilvl w:val="0"/>
          <w:numId w:val="8"/>
        </w:numPr>
        <w:spacing w:before="120"/>
        <w:ind w:left="690" w:hanging="240"/>
        <w:rPr>
          <w:rFonts w:ascii="宋体" w:eastAsia="宋体" w:hAnsi="Times New Roman"/>
          <w:color w:val="000000"/>
        </w:rPr>
      </w:pPr>
      <w:r w:rsidRPr="00B0666B">
        <w:rPr>
          <w:rFonts w:ascii="宋体" w:eastAsia="宋体" w:hAnsi="Times New Roman" w:hint="eastAsia"/>
          <w:color w:val="000000"/>
        </w:rPr>
        <w:t>代表多家生命科学领域的创业企业，例如凯思凯迪，亿腾医药和以星</w:t>
      </w:r>
      <w:r w:rsidRPr="00B0666B">
        <w:rPr>
          <w:rFonts w:ascii="宋体" w:eastAsia="宋体" w:hAnsi="Times New Roman"/>
          <w:color w:val="000000"/>
        </w:rPr>
        <w:t>MitrAssist，为其多轮融资提供法律服务。</w:t>
      </w:r>
    </w:p>
    <w:p w14:paraId="1B974881" w14:textId="77777777" w:rsidR="00B0666B" w:rsidRDefault="00B0666B" w:rsidP="00B0666B">
      <w:pPr>
        <w:pStyle w:val="af5"/>
        <w:numPr>
          <w:ilvl w:val="0"/>
          <w:numId w:val="9"/>
        </w:numPr>
        <w:spacing w:before="120"/>
        <w:ind w:left="690" w:hanging="240"/>
        <w:rPr>
          <w:rFonts w:ascii="宋体" w:eastAsia="宋体" w:hAnsi="Times New Roman"/>
          <w:color w:val="000000"/>
        </w:rPr>
      </w:pPr>
      <w:r w:rsidRPr="00B0666B">
        <w:rPr>
          <w:rFonts w:ascii="宋体" w:eastAsia="宋体" w:hAnsi="Times New Roman" w:hint="eastAsia"/>
          <w:color w:val="000000"/>
        </w:rPr>
        <w:t>代表亿腾医药，为其向礼来制药收购抗感染药物产品组合（希刻劳和稳可信）以及位于苏州的生产设施提供法律服务。</w:t>
      </w:r>
    </w:p>
    <w:p w14:paraId="2AFCBB18" w14:textId="77777777" w:rsidR="00B0666B" w:rsidRDefault="00B0666B" w:rsidP="00B0666B">
      <w:pPr>
        <w:pStyle w:val="af5"/>
        <w:numPr>
          <w:ilvl w:val="0"/>
          <w:numId w:val="10"/>
        </w:numPr>
        <w:spacing w:before="120"/>
        <w:ind w:left="690" w:hanging="240"/>
        <w:rPr>
          <w:rFonts w:ascii="宋体" w:eastAsia="宋体" w:hAnsi="Times New Roman"/>
          <w:color w:val="000000"/>
        </w:rPr>
      </w:pPr>
      <w:r w:rsidRPr="00B0666B">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69F14A33" w14:textId="77777777" w:rsidR="00B0666B" w:rsidRDefault="00B0666B" w:rsidP="00B0666B">
      <w:pPr>
        <w:pStyle w:val="af5"/>
        <w:numPr>
          <w:ilvl w:val="0"/>
          <w:numId w:val="11"/>
        </w:numPr>
        <w:spacing w:before="120"/>
        <w:ind w:left="690" w:hanging="240"/>
        <w:rPr>
          <w:rFonts w:ascii="宋体" w:eastAsia="宋体" w:hAnsi="Times New Roman"/>
          <w:color w:val="000000"/>
        </w:rPr>
      </w:pPr>
      <w:r w:rsidRPr="00B0666B">
        <w:rPr>
          <w:rFonts w:ascii="宋体" w:eastAsia="宋体" w:hAnsi="Times New Roman" w:hint="eastAsia"/>
          <w:color w:val="000000"/>
        </w:rPr>
        <w:t>代表</w:t>
      </w:r>
      <w:r w:rsidRPr="00B0666B">
        <w:rPr>
          <w:rFonts w:ascii="宋体" w:eastAsia="宋体" w:hAnsi="Times New Roman"/>
          <w:color w:val="000000"/>
        </w:rPr>
        <w:t>Education Index Management（德威学校品牌的亚洲运营商）为其进行的数轮私募融资以及其中国业务的重组提供法律服务。</w:t>
      </w:r>
    </w:p>
    <w:p w14:paraId="237FC340" w14:textId="77777777" w:rsidR="00B0666B" w:rsidRDefault="00B0666B" w:rsidP="00B0666B">
      <w:pPr>
        <w:pStyle w:val="af5"/>
        <w:numPr>
          <w:ilvl w:val="0"/>
          <w:numId w:val="12"/>
        </w:numPr>
        <w:spacing w:before="120"/>
        <w:ind w:left="690" w:hanging="240"/>
        <w:rPr>
          <w:rFonts w:ascii="宋体" w:eastAsia="宋体" w:hAnsi="Times New Roman"/>
          <w:color w:val="000000"/>
        </w:rPr>
      </w:pPr>
      <w:r w:rsidRPr="00B0666B">
        <w:rPr>
          <w:rFonts w:ascii="宋体" w:eastAsia="宋体" w:hAnsi="Times New Roman" w:hint="eastAsia"/>
          <w:color w:val="000000"/>
        </w:rPr>
        <w:t>代表光大控股为其对深圳先健科技</w:t>
      </w:r>
      <w:r w:rsidRPr="00B0666B">
        <w:rPr>
          <w:rFonts w:ascii="宋体" w:eastAsia="宋体" w:hAnsi="Times New Roman"/>
          <w:color w:val="000000"/>
        </w:rPr>
        <w:t>(01302.HK)进行投资提供法律服务，先健科技为一家业内领先的心血管微创介入医疗器械供应商。</w:t>
      </w:r>
    </w:p>
    <w:p w14:paraId="65065823" w14:textId="77777777" w:rsidR="00B0666B" w:rsidRDefault="00B0666B" w:rsidP="00B0666B">
      <w:pPr>
        <w:pStyle w:val="af5"/>
        <w:numPr>
          <w:ilvl w:val="0"/>
          <w:numId w:val="13"/>
        </w:numPr>
        <w:spacing w:before="120"/>
        <w:ind w:left="690" w:hanging="240"/>
        <w:rPr>
          <w:rFonts w:ascii="宋体" w:eastAsia="宋体" w:hAnsi="Times New Roman"/>
          <w:color w:val="000000"/>
        </w:rPr>
      </w:pPr>
      <w:r w:rsidRPr="00B0666B">
        <w:rPr>
          <w:rFonts w:ascii="宋体" w:eastAsia="宋体" w:hAnsi="Times New Roman" w:hint="eastAsia"/>
          <w:color w:val="000000"/>
        </w:rPr>
        <w:t>代表平安集团，</w:t>
      </w:r>
      <w:r w:rsidRPr="00B0666B">
        <w:rPr>
          <w:rFonts w:ascii="宋体" w:eastAsia="宋体" w:hAnsi="Times New Roman"/>
          <w:color w:val="000000"/>
        </w:rPr>
        <w:t>ARA, LOGOS（乐歌物流）以及森瑶资本为其在中国进行物流资产的系列收购项目提供法律服务。</w:t>
      </w:r>
    </w:p>
    <w:p w14:paraId="6C1403AC" w14:textId="77777777" w:rsidR="00B0666B" w:rsidRDefault="00B0666B" w:rsidP="00B0666B">
      <w:pPr>
        <w:pStyle w:val="af5"/>
        <w:numPr>
          <w:ilvl w:val="0"/>
          <w:numId w:val="14"/>
        </w:numPr>
        <w:spacing w:before="120"/>
        <w:ind w:left="690" w:hanging="240"/>
        <w:rPr>
          <w:rFonts w:ascii="宋体" w:eastAsia="宋体" w:hAnsi="Times New Roman"/>
          <w:color w:val="000000"/>
        </w:rPr>
      </w:pPr>
      <w:r w:rsidRPr="00B0666B">
        <w:rPr>
          <w:rFonts w:ascii="宋体" w:eastAsia="宋体" w:hAnsi="Times New Roman" w:hint="eastAsia"/>
          <w:color w:val="000000"/>
        </w:rPr>
        <w:t>代表拜耳医药中国，为在拜耳全球收购默克</w:t>
      </w:r>
      <w:r w:rsidRPr="00B0666B">
        <w:rPr>
          <w:rFonts w:ascii="宋体" w:eastAsia="宋体" w:hAnsi="Times New Roman"/>
          <w:color w:val="000000"/>
        </w:rPr>
        <w:t>OTC业务后与默克OTC的中国部分整合提供法律服务。</w:t>
      </w:r>
    </w:p>
    <w:p w14:paraId="5DD56478" w14:textId="77777777" w:rsidR="00B0666B" w:rsidRDefault="00B0666B" w:rsidP="00B0666B">
      <w:pPr>
        <w:pStyle w:val="af5"/>
        <w:numPr>
          <w:ilvl w:val="0"/>
          <w:numId w:val="15"/>
        </w:numPr>
        <w:spacing w:before="120"/>
        <w:ind w:left="690" w:hanging="240"/>
        <w:rPr>
          <w:rFonts w:ascii="宋体" w:eastAsia="宋体" w:hAnsi="Times New Roman"/>
          <w:color w:val="000000"/>
        </w:rPr>
      </w:pPr>
      <w:r w:rsidRPr="00B0666B">
        <w:rPr>
          <w:rFonts w:ascii="宋体" w:eastAsia="宋体" w:hAnsi="Times New Roman" w:hint="eastAsia"/>
          <w:color w:val="000000"/>
        </w:rPr>
        <w:t>代表拜耳，为其收购滇虹药业集团</w:t>
      </w:r>
      <w:r w:rsidRPr="00B0666B">
        <w:rPr>
          <w:rFonts w:ascii="宋体" w:eastAsia="宋体" w:hAnsi="Times New Roman"/>
          <w:color w:val="000000"/>
        </w:rPr>
        <w:t>100%股权提供法律服务，滇虹药业集团为一家中国领先的非处方药和中成药企业。</w:t>
      </w:r>
    </w:p>
    <w:p w14:paraId="03692E42" w14:textId="77777777" w:rsidR="00B0666B" w:rsidRDefault="00B0666B" w:rsidP="00B0666B">
      <w:pPr>
        <w:pStyle w:val="af5"/>
        <w:numPr>
          <w:ilvl w:val="0"/>
          <w:numId w:val="16"/>
        </w:numPr>
        <w:spacing w:before="120"/>
        <w:ind w:left="690" w:hanging="240"/>
        <w:rPr>
          <w:rFonts w:ascii="宋体" w:eastAsia="宋体" w:hAnsi="Times New Roman"/>
          <w:color w:val="000000"/>
        </w:rPr>
      </w:pPr>
      <w:r w:rsidRPr="00B0666B">
        <w:rPr>
          <w:rFonts w:ascii="宋体" w:eastAsia="宋体" w:hAnsi="Times New Roman" w:hint="eastAsia"/>
          <w:color w:val="000000"/>
        </w:rPr>
        <w:t>代表药明康德，为其与梅奥诊所共同设立一家提供先进临床检验技术的合资公司提供法律服务。</w:t>
      </w:r>
    </w:p>
    <w:p w14:paraId="7E4782AA" w14:textId="77777777" w:rsidR="00B0666B" w:rsidRDefault="00B0666B" w:rsidP="00B0666B">
      <w:pPr>
        <w:pStyle w:val="af5"/>
        <w:numPr>
          <w:ilvl w:val="0"/>
          <w:numId w:val="17"/>
        </w:numPr>
        <w:spacing w:before="120"/>
        <w:ind w:left="690" w:hanging="240"/>
        <w:rPr>
          <w:rFonts w:ascii="宋体" w:eastAsia="宋体" w:hAnsi="Times New Roman"/>
          <w:color w:val="000000"/>
        </w:rPr>
      </w:pPr>
      <w:r w:rsidRPr="00B0666B">
        <w:rPr>
          <w:rFonts w:ascii="宋体" w:eastAsia="宋体" w:hAnsi="Times New Roman" w:hint="eastAsia"/>
          <w:color w:val="000000"/>
        </w:rPr>
        <w:t>代表</w:t>
      </w:r>
      <w:r w:rsidRPr="00B0666B">
        <w:rPr>
          <w:rFonts w:ascii="宋体" w:eastAsia="宋体" w:hAnsi="Times New Roman"/>
          <w:color w:val="000000"/>
        </w:rPr>
        <w:t>World Strides，一家世界最大的修学旅行公司为其在中国收购夏令营业务提供法律服务。</w:t>
      </w:r>
    </w:p>
    <w:p w14:paraId="252D57CA" w14:textId="77777777" w:rsidR="00B0666B" w:rsidRDefault="00B0666B" w:rsidP="00B0666B">
      <w:pPr>
        <w:pStyle w:val="af5"/>
        <w:numPr>
          <w:ilvl w:val="0"/>
          <w:numId w:val="18"/>
        </w:numPr>
        <w:spacing w:before="120"/>
        <w:ind w:left="690" w:hanging="240"/>
        <w:rPr>
          <w:rFonts w:ascii="宋体" w:eastAsia="宋体" w:hAnsi="Times New Roman"/>
          <w:color w:val="000000"/>
        </w:rPr>
      </w:pPr>
      <w:r w:rsidRPr="00B0666B">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680E7946" w14:textId="77777777" w:rsidR="00B0666B" w:rsidRDefault="00B0666B" w:rsidP="00B0666B">
      <w:pPr>
        <w:pStyle w:val="af5"/>
        <w:spacing w:before="120"/>
        <w:rPr>
          <w:rFonts w:ascii="宋体" w:eastAsia="宋体" w:hAnsi="Times New Roman"/>
          <w:color w:val="000000"/>
        </w:rPr>
      </w:pPr>
      <w:r w:rsidRPr="00B0666B">
        <w:rPr>
          <w:rFonts w:ascii="宋体" w:eastAsia="宋体" w:hAnsi="Times New Roman" w:hint="eastAsia"/>
          <w:color w:val="000000"/>
        </w:rPr>
        <w:t>产品许可与合作</w:t>
      </w:r>
    </w:p>
    <w:p w14:paraId="3938961B" w14:textId="77777777" w:rsidR="00B0666B" w:rsidRDefault="00B0666B" w:rsidP="00B0666B">
      <w:pPr>
        <w:pStyle w:val="af5"/>
        <w:numPr>
          <w:ilvl w:val="0"/>
          <w:numId w:val="19"/>
        </w:numPr>
        <w:spacing w:before="120"/>
        <w:ind w:left="690" w:hanging="240"/>
        <w:rPr>
          <w:rFonts w:ascii="宋体" w:eastAsia="宋体" w:hAnsi="Times New Roman"/>
          <w:color w:val="000000"/>
        </w:rPr>
      </w:pPr>
      <w:r w:rsidRPr="00B0666B">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1D8954C9" w14:textId="77777777" w:rsidR="00B0666B" w:rsidRDefault="00B0666B" w:rsidP="00B0666B">
      <w:pPr>
        <w:pStyle w:val="af5"/>
        <w:numPr>
          <w:ilvl w:val="0"/>
          <w:numId w:val="20"/>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57579AAB" w14:textId="77777777" w:rsidR="00B0666B" w:rsidRDefault="00B0666B" w:rsidP="00B0666B">
      <w:pPr>
        <w:pStyle w:val="af5"/>
        <w:numPr>
          <w:ilvl w:val="0"/>
          <w:numId w:val="21"/>
        </w:numPr>
        <w:spacing w:before="120"/>
        <w:ind w:left="690" w:hanging="240"/>
        <w:rPr>
          <w:rFonts w:ascii="宋体" w:eastAsia="宋体" w:hAnsi="Times New Roman"/>
          <w:color w:val="000000"/>
        </w:rPr>
      </w:pPr>
      <w:r w:rsidRPr="00B0666B">
        <w:rPr>
          <w:rFonts w:ascii="宋体" w:eastAsia="宋体" w:hAnsi="Times New Roman" w:hint="eastAsia"/>
          <w:color w:val="000000"/>
        </w:rPr>
        <w:t>代表映恩生物，就其授予三生制药旗下沈阳三生制药授予其</w:t>
      </w:r>
      <w:r w:rsidRPr="00B0666B">
        <w:rPr>
          <w:rFonts w:ascii="宋体" w:eastAsia="宋体" w:hAnsi="Times New Roman"/>
          <w:color w:val="000000"/>
        </w:rPr>
        <w:t>DB-1303产品 (HER2 ADC) 多个适应症在中国大陆、香港和澳门的商业化权利提供法律服务。</w:t>
      </w:r>
    </w:p>
    <w:p w14:paraId="7D723166" w14:textId="77777777" w:rsidR="00B0666B" w:rsidRDefault="00B0666B" w:rsidP="00B0666B">
      <w:pPr>
        <w:pStyle w:val="af5"/>
        <w:numPr>
          <w:ilvl w:val="0"/>
          <w:numId w:val="22"/>
        </w:numPr>
        <w:spacing w:before="120"/>
        <w:ind w:left="690" w:hanging="240"/>
        <w:rPr>
          <w:rFonts w:ascii="宋体" w:eastAsia="宋体" w:hAnsi="Times New Roman"/>
          <w:color w:val="000000"/>
        </w:rPr>
      </w:pPr>
      <w:r w:rsidRPr="00B0666B">
        <w:rPr>
          <w:rFonts w:ascii="宋体" w:eastAsia="宋体" w:hAnsi="Times New Roman" w:hint="eastAsia"/>
          <w:color w:val="000000"/>
        </w:rPr>
        <w:t>代表天境生物与赛诺菲达成许可战略合作，以授予赛诺菲在大中华区开发、生产和商业化天境生物自主研发的全球创新</w:t>
      </w:r>
      <w:r w:rsidRPr="00B0666B">
        <w:rPr>
          <w:rFonts w:ascii="宋体" w:eastAsia="宋体" w:hAnsi="Times New Roman"/>
          <w:color w:val="000000"/>
        </w:rPr>
        <w:t>CD73抗体尤莱利单抗(Uliledlimab)的独家权利。</w:t>
      </w:r>
    </w:p>
    <w:p w14:paraId="66647C0E" w14:textId="77777777" w:rsidR="00B0666B" w:rsidRDefault="00B0666B" w:rsidP="00B0666B">
      <w:pPr>
        <w:pStyle w:val="af5"/>
        <w:numPr>
          <w:ilvl w:val="0"/>
          <w:numId w:val="23"/>
        </w:numPr>
        <w:spacing w:before="120"/>
        <w:ind w:left="690" w:hanging="240"/>
        <w:rPr>
          <w:rFonts w:ascii="宋体" w:eastAsia="宋体" w:hAnsi="Times New Roman"/>
          <w:color w:val="000000"/>
        </w:rPr>
      </w:pPr>
      <w:r w:rsidRPr="00B0666B">
        <w:rPr>
          <w:rFonts w:ascii="宋体" w:eastAsia="宋体" w:hAnsi="Times New Roman" w:hint="eastAsia"/>
          <w:color w:val="000000"/>
        </w:rPr>
        <w:t>代表复宏汉霖就其获得</w:t>
      </w:r>
      <w:r w:rsidRPr="00B0666B">
        <w:rPr>
          <w:rFonts w:ascii="宋体" w:eastAsia="宋体" w:hAnsi="Times New Roman"/>
          <w:color w:val="000000"/>
        </w:rPr>
        <w:t>Palleon Pharmaceuticals Inc.的first-in-class人唾液酸酶融合蛋白E-602在中国的独家开发和商业化权益提供法律服务。</w:t>
      </w:r>
    </w:p>
    <w:p w14:paraId="17AD517A" w14:textId="77777777" w:rsidR="00B0666B" w:rsidRDefault="00B0666B" w:rsidP="00B0666B">
      <w:pPr>
        <w:pStyle w:val="af5"/>
        <w:numPr>
          <w:ilvl w:val="0"/>
          <w:numId w:val="24"/>
        </w:numPr>
        <w:spacing w:before="120"/>
        <w:ind w:left="690" w:hanging="240"/>
        <w:rPr>
          <w:rFonts w:ascii="宋体" w:eastAsia="宋体" w:hAnsi="Times New Roman"/>
          <w:color w:val="000000"/>
        </w:rPr>
      </w:pPr>
      <w:r w:rsidRPr="00B0666B">
        <w:rPr>
          <w:rFonts w:ascii="宋体" w:eastAsia="宋体" w:hAnsi="Times New Roman" w:hint="eastAsia"/>
          <w:color w:val="000000"/>
        </w:rPr>
        <w:t>代表石药集团全资子公司津曼特生物与江苏康宁杰瑞达成独家授权许可协议，用以在中国大陆地区开发和商业化</w:t>
      </w:r>
      <w:r w:rsidRPr="00B0666B">
        <w:rPr>
          <w:rFonts w:ascii="宋体" w:eastAsia="宋体" w:hAnsi="Times New Roman"/>
          <w:color w:val="000000"/>
        </w:rPr>
        <w:t>JSKN003(一种靶向HER2双表位抗体偶联药物)，首付款及近期研发里程碑逾一亿美元。</w:t>
      </w:r>
    </w:p>
    <w:p w14:paraId="36D5D892" w14:textId="77777777" w:rsidR="00B0666B" w:rsidRDefault="00B0666B" w:rsidP="00B0666B">
      <w:pPr>
        <w:pStyle w:val="af5"/>
        <w:numPr>
          <w:ilvl w:val="0"/>
          <w:numId w:val="25"/>
        </w:numPr>
        <w:spacing w:before="120"/>
        <w:ind w:left="690" w:hanging="240"/>
        <w:rPr>
          <w:rFonts w:ascii="宋体" w:eastAsia="宋体" w:hAnsi="Times New Roman"/>
          <w:color w:val="000000"/>
        </w:rPr>
      </w:pPr>
      <w:r w:rsidRPr="00B0666B">
        <w:rPr>
          <w:rFonts w:ascii="宋体" w:eastAsia="宋体" w:hAnsi="Times New Roman" w:hint="eastAsia"/>
          <w:color w:val="000000"/>
        </w:rPr>
        <w:t>代表康华生物就其向</w:t>
      </w:r>
      <w:r w:rsidRPr="00B0666B">
        <w:rPr>
          <w:rFonts w:ascii="宋体" w:eastAsia="宋体" w:hAnsi="Times New Roman"/>
          <w:color w:val="000000"/>
        </w:rPr>
        <w:t>HilleVax授予其在大中华区以外市场开发、生产及商业化重组六价诺如病毒疫苗的独家许可权益提供法律服务。</w:t>
      </w:r>
    </w:p>
    <w:p w14:paraId="2FDC8F76" w14:textId="77777777" w:rsidR="00B0666B" w:rsidRDefault="00B0666B" w:rsidP="00B0666B">
      <w:pPr>
        <w:pStyle w:val="af5"/>
        <w:numPr>
          <w:ilvl w:val="0"/>
          <w:numId w:val="26"/>
        </w:numPr>
        <w:spacing w:before="120"/>
        <w:ind w:left="690" w:hanging="240"/>
        <w:rPr>
          <w:rFonts w:ascii="宋体" w:eastAsia="宋体" w:hAnsi="Times New Roman"/>
          <w:color w:val="000000"/>
        </w:rPr>
      </w:pPr>
      <w:r w:rsidRPr="00B0666B">
        <w:rPr>
          <w:rFonts w:ascii="宋体" w:eastAsia="宋体" w:hAnsi="Times New Roman" w:hint="eastAsia"/>
          <w:color w:val="000000"/>
        </w:rPr>
        <w:t>代表恒瑞医药就其创新药抗</w:t>
      </w:r>
      <w:r w:rsidRPr="00B0666B">
        <w:rPr>
          <w:rFonts w:ascii="宋体" w:eastAsia="宋体" w:hAnsi="Times New Roman"/>
          <w:color w:val="000000"/>
        </w:rPr>
        <w:t>TSLP单克隆抗体 (SHR-1905) 在大中华地区以外的市场许可授权Aiolos Bio提供法律服务。</w:t>
      </w:r>
    </w:p>
    <w:p w14:paraId="7E35B33E" w14:textId="77777777" w:rsidR="00B0666B" w:rsidRDefault="00B0666B" w:rsidP="00B0666B">
      <w:pPr>
        <w:pStyle w:val="af5"/>
        <w:numPr>
          <w:ilvl w:val="0"/>
          <w:numId w:val="27"/>
        </w:numPr>
        <w:spacing w:before="120"/>
        <w:ind w:left="690" w:hanging="240"/>
        <w:rPr>
          <w:rFonts w:ascii="宋体" w:eastAsia="宋体" w:hAnsi="Times New Roman"/>
          <w:color w:val="000000"/>
        </w:rPr>
      </w:pPr>
      <w:r w:rsidRPr="00B0666B">
        <w:rPr>
          <w:rFonts w:ascii="宋体" w:eastAsia="宋体" w:hAnsi="Times New Roman" w:hint="eastAsia"/>
          <w:color w:val="000000"/>
        </w:rPr>
        <w:t>代表基石药业就其向三生制药授予中国大陆地区开发、注册、生产和商业化抗</w:t>
      </w:r>
      <w:r w:rsidRPr="00B0666B">
        <w:rPr>
          <w:rFonts w:ascii="宋体" w:eastAsia="宋体" w:hAnsi="Times New Roman"/>
          <w:color w:val="000000"/>
        </w:rPr>
        <w:t>PD-1单抗Nofazinlimab的独家许可权益合作安排提供服务。</w:t>
      </w:r>
    </w:p>
    <w:p w14:paraId="73AEF9F5" w14:textId="77777777" w:rsidR="00B0666B" w:rsidRDefault="00B0666B" w:rsidP="00B0666B">
      <w:pPr>
        <w:pStyle w:val="af5"/>
        <w:numPr>
          <w:ilvl w:val="0"/>
          <w:numId w:val="28"/>
        </w:numPr>
        <w:spacing w:before="120"/>
        <w:ind w:left="690" w:hanging="240"/>
        <w:rPr>
          <w:rFonts w:ascii="宋体" w:eastAsia="宋体" w:hAnsi="Times New Roman"/>
          <w:color w:val="000000"/>
        </w:rPr>
      </w:pPr>
      <w:r w:rsidRPr="00B0666B">
        <w:rPr>
          <w:rFonts w:ascii="宋体" w:eastAsia="宋体" w:hAnsi="Times New Roman" w:hint="eastAsia"/>
          <w:color w:val="000000"/>
        </w:rPr>
        <w:t>代表多家跨国制药公司就其各自核心产品在中国市场与推广商达成</w:t>
      </w:r>
      <w:r w:rsidRPr="00B0666B">
        <w:rPr>
          <w:rFonts w:ascii="宋体" w:eastAsia="宋体" w:hAnsi="Times New Roman"/>
          <w:color w:val="000000"/>
        </w:rPr>
        <w:t>CSO安排提供法律服务。</w:t>
      </w:r>
    </w:p>
    <w:p w14:paraId="45A22C97" w14:textId="77777777" w:rsidR="00B0666B" w:rsidRDefault="00B0666B" w:rsidP="00B0666B">
      <w:pPr>
        <w:pStyle w:val="af5"/>
        <w:numPr>
          <w:ilvl w:val="0"/>
          <w:numId w:val="29"/>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代表阿斯利康，为其与第一三共就代号</w:t>
      </w:r>
      <w:r w:rsidRPr="00B0666B">
        <w:rPr>
          <w:rFonts w:ascii="宋体" w:eastAsia="宋体" w:hAnsi="Times New Roman"/>
          <w:color w:val="000000"/>
        </w:rPr>
        <w:t>DS8201的ADC产品根据该等产品的全球授权协议在中国市场达成共同推广安排提供法律服务。</w:t>
      </w:r>
    </w:p>
    <w:p w14:paraId="093B3D5A" w14:textId="77777777" w:rsidR="00B0666B" w:rsidRDefault="00B0666B" w:rsidP="00B0666B">
      <w:pPr>
        <w:pStyle w:val="af5"/>
        <w:numPr>
          <w:ilvl w:val="0"/>
          <w:numId w:val="30"/>
        </w:numPr>
        <w:spacing w:before="120"/>
        <w:ind w:left="690" w:hanging="240"/>
        <w:rPr>
          <w:rFonts w:ascii="宋体" w:eastAsia="宋体" w:hAnsi="Times New Roman"/>
          <w:color w:val="000000"/>
        </w:rPr>
      </w:pPr>
      <w:r w:rsidRPr="00B0666B">
        <w:rPr>
          <w:rFonts w:ascii="宋体" w:eastAsia="宋体" w:hAnsi="Times New Roman" w:hint="eastAsia"/>
          <w:color w:val="000000"/>
        </w:rPr>
        <w:t>代表基石药业，为其授予恒瑞制药有关基石旗下主要管线之一抗</w:t>
      </w:r>
      <w:r w:rsidRPr="00B0666B">
        <w:rPr>
          <w:rFonts w:ascii="宋体" w:eastAsia="宋体" w:hAnsi="Times New Roman"/>
          <w:color w:val="000000"/>
        </w:rPr>
        <w:t>CTLA-4（CS1002）的大中华区独家研发、注册、生产及商业化权利提供法律服务。</w:t>
      </w:r>
    </w:p>
    <w:p w14:paraId="1E29BB2B" w14:textId="77777777" w:rsidR="00B0666B" w:rsidRDefault="00B0666B" w:rsidP="00B0666B">
      <w:pPr>
        <w:pStyle w:val="af5"/>
        <w:numPr>
          <w:ilvl w:val="0"/>
          <w:numId w:val="31"/>
        </w:numPr>
        <w:spacing w:before="120"/>
        <w:ind w:left="690" w:hanging="240"/>
        <w:rPr>
          <w:rFonts w:ascii="宋体" w:eastAsia="宋体" w:hAnsi="Times New Roman"/>
          <w:color w:val="000000"/>
        </w:rPr>
      </w:pPr>
      <w:r w:rsidRPr="00B0666B">
        <w:rPr>
          <w:rFonts w:ascii="宋体" w:eastAsia="宋体" w:hAnsi="Times New Roman" w:hint="eastAsia"/>
          <w:color w:val="000000"/>
        </w:rPr>
        <w:t>分别代表包括</w:t>
      </w:r>
      <w:r w:rsidRPr="00B0666B">
        <w:rPr>
          <w:rFonts w:ascii="宋体" w:eastAsia="宋体" w:hAnsi="Times New Roman"/>
          <w:color w:val="000000"/>
        </w:rPr>
        <w:t>Cordis和百特在内的数家医疗器械公司，为其在中国执行产品的委托设计、研发和制造提供法律服务。</w:t>
      </w:r>
    </w:p>
    <w:p w14:paraId="5E8139D9" w14:textId="77777777" w:rsidR="00B0666B" w:rsidRDefault="00B0666B" w:rsidP="00B0666B">
      <w:pPr>
        <w:pStyle w:val="af5"/>
        <w:numPr>
          <w:ilvl w:val="0"/>
          <w:numId w:val="32"/>
        </w:numPr>
        <w:spacing w:before="120"/>
        <w:ind w:left="690" w:hanging="240"/>
        <w:rPr>
          <w:rFonts w:ascii="宋体" w:eastAsia="宋体" w:hAnsi="Times New Roman"/>
          <w:color w:val="000000"/>
        </w:rPr>
      </w:pPr>
      <w:r w:rsidRPr="00B0666B">
        <w:rPr>
          <w:rFonts w:ascii="宋体" w:eastAsia="宋体" w:hAnsi="Times New Roman" w:hint="eastAsia"/>
          <w:color w:val="000000"/>
        </w:rPr>
        <w:t>代表昂阔医药从普众发现医药科技公司获得关于抗</w:t>
      </w:r>
      <w:r w:rsidRPr="00B0666B">
        <w:rPr>
          <w:rFonts w:ascii="宋体" w:eastAsia="宋体" w:hAnsi="Times New Roman"/>
          <w:color w:val="000000"/>
        </w:rPr>
        <w:t>CDH-6抗体偶联药物在全球（除大中华区外）开发、注册和商业化的排他性权利。</w:t>
      </w:r>
    </w:p>
    <w:p w14:paraId="4E69BBA4" w14:textId="77777777" w:rsidR="00B0666B" w:rsidRDefault="00B0666B" w:rsidP="00B0666B">
      <w:pPr>
        <w:pStyle w:val="af5"/>
        <w:numPr>
          <w:ilvl w:val="0"/>
          <w:numId w:val="33"/>
        </w:numPr>
        <w:spacing w:before="120"/>
        <w:ind w:left="690" w:hanging="240"/>
        <w:rPr>
          <w:rFonts w:ascii="宋体" w:eastAsia="宋体" w:hAnsi="Times New Roman"/>
          <w:color w:val="000000"/>
        </w:rPr>
      </w:pPr>
      <w:r w:rsidRPr="00B0666B">
        <w:rPr>
          <w:rFonts w:ascii="宋体" w:eastAsia="宋体" w:hAnsi="Times New Roman" w:hint="eastAsia"/>
          <w:color w:val="000000"/>
        </w:rPr>
        <w:t>代表葆元医药，为其将葆元的主要候选药物之一</w:t>
      </w:r>
      <w:r w:rsidRPr="00B0666B">
        <w:rPr>
          <w:rFonts w:ascii="宋体" w:eastAsia="宋体" w:hAnsi="Times New Roman"/>
          <w:color w:val="000000"/>
        </w:rPr>
        <w:t>Taletrectinib 分别在中国市场的商业化权利授予信达药业、将日本市场的商业化权利授予Nippon Kayaku (一家日本上市公司) 提供法律服务。</w:t>
      </w:r>
    </w:p>
    <w:p w14:paraId="53397827" w14:textId="77777777" w:rsidR="00B0666B" w:rsidRDefault="00B0666B" w:rsidP="00B0666B">
      <w:pPr>
        <w:pStyle w:val="af5"/>
        <w:numPr>
          <w:ilvl w:val="0"/>
          <w:numId w:val="34"/>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代表阿斯利康为其将编号为</w:t>
      </w:r>
      <w:r w:rsidRPr="00B0666B">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93C03C4" w14:textId="77777777" w:rsidR="00B0666B" w:rsidRDefault="00B0666B" w:rsidP="00B0666B">
      <w:pPr>
        <w:pStyle w:val="af5"/>
        <w:numPr>
          <w:ilvl w:val="0"/>
          <w:numId w:val="35"/>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代表阿斯利康，为其从绿叶制药取得血脂康</w:t>
      </w:r>
      <w:r w:rsidRPr="00B0666B">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0CCFD6D7" w14:textId="77777777" w:rsidR="00B0666B" w:rsidRDefault="00B0666B" w:rsidP="00B0666B">
      <w:pPr>
        <w:pStyle w:val="af5"/>
        <w:numPr>
          <w:ilvl w:val="0"/>
          <w:numId w:val="36"/>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代表阿斯利康，就其以</w:t>
      </w:r>
      <w:r w:rsidRPr="00B0666B">
        <w:rPr>
          <w:rFonts w:ascii="宋体" w:eastAsia="宋体" w:hAnsi="Times New Roman"/>
          <w:color w:val="000000"/>
        </w:rPr>
        <w:t>3.1亿美元授权费以及持续的经济利益分享为对价向康哲药 业授予波依定在中国市场的独家商业化权利提供法律服务。</w:t>
      </w:r>
    </w:p>
    <w:p w14:paraId="7D087DEF" w14:textId="77777777" w:rsidR="00B0666B" w:rsidRDefault="00B0666B" w:rsidP="00B0666B">
      <w:pPr>
        <w:pStyle w:val="af5"/>
        <w:numPr>
          <w:ilvl w:val="0"/>
          <w:numId w:val="37"/>
        </w:numPr>
        <w:spacing w:before="120"/>
        <w:ind w:left="690" w:hanging="240"/>
        <w:rPr>
          <w:rFonts w:ascii="宋体" w:eastAsia="宋体" w:hAnsi="Times New Roman"/>
          <w:color w:val="000000"/>
        </w:rPr>
      </w:pPr>
      <w:r w:rsidRPr="00B0666B">
        <w:rPr>
          <w:rFonts w:ascii="宋体" w:eastAsia="宋体" w:hAnsi="Times New Roman" w:hint="eastAsia"/>
          <w:color w:val="000000"/>
        </w:rPr>
        <w:t>代表阿斯利康，就其以</w:t>
      </w:r>
      <w:r w:rsidRPr="00B0666B">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1050BE29" w14:textId="77777777" w:rsidR="00B0666B" w:rsidRDefault="00B0666B" w:rsidP="00B0666B">
      <w:pPr>
        <w:pStyle w:val="af5"/>
        <w:spacing w:before="120"/>
        <w:rPr>
          <w:rFonts w:ascii="宋体" w:eastAsia="宋体" w:hAnsi="Times New Roman"/>
          <w:color w:val="000000"/>
        </w:rPr>
      </w:pPr>
      <w:r w:rsidRPr="00B0666B">
        <w:rPr>
          <w:rFonts w:ascii="宋体" w:eastAsia="宋体" w:hAnsi="Times New Roman" w:hint="eastAsia"/>
          <w:color w:val="000000"/>
        </w:rPr>
        <w:t>日常运营</w:t>
      </w:r>
      <w:r w:rsidRPr="00B0666B">
        <w:rPr>
          <w:rFonts w:ascii="宋体" w:eastAsia="宋体" w:hAnsi="Times New Roman"/>
          <w:color w:val="000000"/>
        </w:rPr>
        <w:t>/合规事宜</w:t>
      </w:r>
    </w:p>
    <w:p w14:paraId="06C3925A" w14:textId="77777777" w:rsidR="00B0666B" w:rsidRDefault="00B0666B" w:rsidP="00B0666B">
      <w:pPr>
        <w:pStyle w:val="af5"/>
        <w:numPr>
          <w:ilvl w:val="0"/>
          <w:numId w:val="38"/>
        </w:numPr>
        <w:spacing w:before="120"/>
        <w:ind w:left="690" w:hanging="240"/>
        <w:rPr>
          <w:rFonts w:ascii="宋体" w:eastAsia="宋体" w:hAnsi="Times New Roman"/>
          <w:color w:val="000000"/>
        </w:rPr>
      </w:pPr>
      <w:r w:rsidRPr="00B0666B">
        <w:rPr>
          <w:rFonts w:ascii="宋体" w:eastAsia="宋体" w:hAnsi="Times New Roman" w:hint="eastAsia"/>
          <w:color w:val="000000"/>
        </w:rPr>
        <w:t>代表庄信万丰、科思创、易商红木、</w:t>
      </w:r>
      <w:r w:rsidRPr="00B0666B">
        <w:rPr>
          <w:rFonts w:ascii="宋体" w:eastAsia="宋体" w:hAnsi="Times New Roman"/>
          <w:color w:val="000000"/>
        </w:rPr>
        <w:t>Education Index Management、诺德安达、塞拉尼斯等多家企业为其日常业务涉及的法律问题提供意见。</w:t>
      </w:r>
    </w:p>
    <w:p w14:paraId="52101384" w14:textId="77777777" w:rsidR="00B0666B" w:rsidRDefault="00B0666B" w:rsidP="00B0666B">
      <w:pPr>
        <w:pStyle w:val="af5"/>
        <w:numPr>
          <w:ilvl w:val="0"/>
          <w:numId w:val="39"/>
        </w:numPr>
        <w:spacing w:before="120"/>
        <w:ind w:left="690" w:hanging="240"/>
        <w:rPr>
          <w:rFonts w:ascii="宋体" w:eastAsia="宋体" w:hAnsi="Times New Roman"/>
          <w:color w:val="000000"/>
        </w:rPr>
      </w:pPr>
      <w:r w:rsidRPr="00B0666B">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B0666B">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0679319F" w14:textId="77777777" w:rsidR="00B0666B" w:rsidRDefault="00B0666B" w:rsidP="00B0666B">
      <w:pPr>
        <w:pStyle w:val="af5"/>
        <w:numPr>
          <w:ilvl w:val="0"/>
          <w:numId w:val="40"/>
        </w:numPr>
        <w:spacing w:before="120"/>
        <w:ind w:left="690" w:hanging="240"/>
        <w:rPr>
          <w:rFonts w:ascii="宋体" w:eastAsia="宋体" w:hAnsi="Times New Roman"/>
          <w:color w:val="000000"/>
        </w:rPr>
      </w:pPr>
      <w:r w:rsidRPr="00B0666B">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B0666B">
        <w:rPr>
          <w:rFonts w:ascii="宋体" w:eastAsia="宋体" w:hAnsi="Times New Roman"/>
          <w:color w:val="000000"/>
        </w:rPr>
        <w:t>/扩建、监管合规、关联交易、采购、数据保护、贷款融资、学校管理等。</w:t>
      </w:r>
    </w:p>
    <w:p w14:paraId="1801D13A"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教育背景</w:t>
      </w:r>
    </w:p>
    <w:p w14:paraId="0B018A85" w14:textId="77777777" w:rsidR="00B0666B" w:rsidRDefault="00B0666B" w:rsidP="00B0666B">
      <w:pPr>
        <w:pStyle w:val="af5"/>
        <w:numPr>
          <w:ilvl w:val="0"/>
          <w:numId w:val="41"/>
        </w:numPr>
        <w:spacing w:before="120"/>
        <w:ind w:left="690" w:hanging="240"/>
        <w:rPr>
          <w:rFonts w:ascii="宋体" w:eastAsia="宋体" w:hAnsi="Times New Roman"/>
          <w:color w:val="000000"/>
        </w:rPr>
      </w:pPr>
      <w:r w:rsidRPr="00B0666B">
        <w:rPr>
          <w:rFonts w:ascii="宋体" w:eastAsia="宋体" w:hAnsi="Times New Roman" w:hint="eastAsia"/>
          <w:color w:val="000000"/>
        </w:rPr>
        <w:t>伦敦大学学院（</w:t>
      </w:r>
      <w:r w:rsidRPr="00B0666B">
        <w:rPr>
          <w:rFonts w:ascii="宋体" w:eastAsia="宋体" w:hAnsi="Times New Roman"/>
          <w:color w:val="000000"/>
        </w:rPr>
        <w:t>UCL）法律系，法学硕士</w:t>
      </w:r>
    </w:p>
    <w:p w14:paraId="25D6187C" w14:textId="77777777" w:rsidR="00B0666B" w:rsidRDefault="00B0666B" w:rsidP="00B0666B">
      <w:pPr>
        <w:pStyle w:val="af5"/>
        <w:numPr>
          <w:ilvl w:val="0"/>
          <w:numId w:val="42"/>
        </w:numPr>
        <w:spacing w:before="120"/>
        <w:ind w:left="690" w:hanging="240"/>
        <w:rPr>
          <w:rFonts w:ascii="宋体" w:eastAsia="宋体" w:hAnsi="Times New Roman"/>
          <w:color w:val="000000"/>
        </w:rPr>
      </w:pPr>
      <w:r w:rsidRPr="00B0666B">
        <w:rPr>
          <w:rFonts w:ascii="宋体" w:eastAsia="宋体" w:hAnsi="Times New Roman" w:hint="eastAsia"/>
          <w:color w:val="000000"/>
        </w:rPr>
        <w:t>复旦大学法学院，法学学士</w:t>
      </w:r>
    </w:p>
    <w:p w14:paraId="6AD385CB"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执业资格</w:t>
      </w:r>
    </w:p>
    <w:p w14:paraId="7CA82BA9" w14:textId="77777777" w:rsidR="00B0666B" w:rsidRDefault="00B0666B" w:rsidP="00B0666B">
      <w:pPr>
        <w:pStyle w:val="af5"/>
        <w:numPr>
          <w:ilvl w:val="0"/>
          <w:numId w:val="43"/>
        </w:numPr>
        <w:spacing w:before="120"/>
        <w:ind w:left="690" w:hanging="240"/>
        <w:rPr>
          <w:rFonts w:ascii="宋体" w:eastAsia="宋体" w:hAnsi="Times New Roman"/>
          <w:color w:val="000000"/>
        </w:rPr>
      </w:pPr>
      <w:r w:rsidRPr="00B0666B">
        <w:rPr>
          <w:rFonts w:ascii="宋体" w:eastAsia="宋体" w:hAnsi="Times New Roman" w:hint="eastAsia"/>
          <w:color w:val="000000"/>
        </w:rPr>
        <w:t>中华人民共和国执业律师</w:t>
      </w:r>
    </w:p>
    <w:p w14:paraId="5D6BDD7A"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其他信息</w:t>
      </w:r>
    </w:p>
    <w:p w14:paraId="0B6BC8BE"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讲演</w:t>
      </w:r>
    </w:p>
    <w:p w14:paraId="0ACBBF7B" w14:textId="77777777" w:rsidR="00B0666B" w:rsidRDefault="00B0666B" w:rsidP="00B0666B">
      <w:pPr>
        <w:pStyle w:val="af5"/>
        <w:numPr>
          <w:ilvl w:val="0"/>
          <w:numId w:val="44"/>
        </w:numPr>
        <w:spacing w:before="120"/>
        <w:ind w:left="690" w:hanging="240"/>
        <w:rPr>
          <w:rFonts w:ascii="宋体" w:eastAsia="宋体" w:hAnsi="Times New Roman"/>
          <w:color w:val="000000"/>
        </w:rPr>
      </w:pPr>
      <w:r w:rsidRPr="00B0666B">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706206A0"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出版物</w:t>
      </w:r>
    </w:p>
    <w:p w14:paraId="0D34E7AB" w14:textId="77777777" w:rsidR="00B0666B" w:rsidRDefault="00B0666B" w:rsidP="00B0666B">
      <w:pPr>
        <w:pStyle w:val="af5"/>
        <w:numPr>
          <w:ilvl w:val="0"/>
          <w:numId w:val="45"/>
        </w:numPr>
        <w:spacing w:before="120"/>
        <w:ind w:left="690" w:hanging="240"/>
        <w:rPr>
          <w:rFonts w:ascii="宋体" w:eastAsia="宋体" w:hAnsi="Times New Roman"/>
          <w:color w:val="000000"/>
        </w:rPr>
      </w:pPr>
      <w:r w:rsidRPr="00B0666B">
        <w:rPr>
          <w:rFonts w:ascii="宋体" w:eastAsia="宋体" w:hAnsi="Times New Roman"/>
          <w:color w:val="000000"/>
        </w:rPr>
        <w:t xml:space="preserve">Pharma Boradroom出版的《中国制药法律监管手册》（2019和2021版）牵头作者。 </w:t>
      </w:r>
    </w:p>
    <w:p w14:paraId="435E1966" w14:textId="77777777" w:rsidR="00B0666B" w:rsidRDefault="00B0666B" w:rsidP="00B0666B">
      <w:pPr>
        <w:pStyle w:val="af5"/>
        <w:numPr>
          <w:ilvl w:val="0"/>
          <w:numId w:val="46"/>
        </w:numPr>
        <w:spacing w:before="120"/>
        <w:ind w:left="690" w:hanging="240"/>
        <w:rPr>
          <w:rFonts w:ascii="宋体" w:eastAsia="宋体" w:hAnsi="Times New Roman"/>
          <w:color w:val="000000"/>
        </w:rPr>
      </w:pPr>
      <w:r w:rsidRPr="00B0666B">
        <w:rPr>
          <w:rFonts w:ascii="宋体" w:eastAsia="宋体" w:hAnsi="Times New Roman"/>
          <w:color w:val="000000"/>
        </w:rPr>
        <w:t xml:space="preserve">Legal 500出版的《中国生命科学: 交易洞见及瞩目行业趋势》（2024年2月）共同作者。 </w:t>
      </w:r>
    </w:p>
    <w:p w14:paraId="3E74440E" w14:textId="77777777" w:rsidR="00B0666B" w:rsidRDefault="00B0666B" w:rsidP="00B0666B">
      <w:pPr>
        <w:pStyle w:val="af5"/>
        <w:numPr>
          <w:ilvl w:val="0"/>
          <w:numId w:val="47"/>
        </w:numPr>
        <w:spacing w:before="120"/>
        <w:ind w:left="690" w:hanging="240"/>
        <w:rPr>
          <w:rFonts w:ascii="宋体" w:eastAsia="宋体" w:hAnsi="Times New Roman"/>
          <w:color w:val="000000"/>
        </w:rPr>
      </w:pPr>
      <w:r w:rsidRPr="00B0666B">
        <w:rPr>
          <w:rFonts w:ascii="宋体" w:eastAsia="宋体" w:hAnsi="Times New Roman"/>
          <w:color w:val="000000"/>
        </w:rPr>
        <w:t xml:space="preserve">Legal500出版的《生命科学与医疗健康2024年鉴: 中国篇问答指引》（2024年2月）共同作者。 </w:t>
      </w:r>
    </w:p>
    <w:p w14:paraId="703EF8ED"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获奖情况</w:t>
      </w:r>
    </w:p>
    <w:p w14:paraId="609E3684" w14:textId="77777777" w:rsidR="00B0666B" w:rsidRDefault="00B0666B" w:rsidP="00B0666B">
      <w:pPr>
        <w:pStyle w:val="af5"/>
        <w:numPr>
          <w:ilvl w:val="0"/>
          <w:numId w:val="48"/>
        </w:numPr>
        <w:spacing w:before="120"/>
        <w:ind w:left="690" w:hanging="240"/>
        <w:rPr>
          <w:rFonts w:ascii="宋体" w:eastAsia="宋体" w:hAnsi="Times New Roman"/>
          <w:color w:val="000000"/>
        </w:rPr>
      </w:pPr>
      <w:r w:rsidRPr="00B0666B">
        <w:rPr>
          <w:rFonts w:ascii="宋体" w:eastAsia="宋体" w:hAnsi="Times New Roman"/>
          <w:color w:val="000000"/>
        </w:rPr>
        <w:t xml:space="preserve">在2019至2021年度连续被钱伯斯亚太(Chambers and Partners </w:t>
      </w:r>
      <w:r w:rsidRPr="00B0666B">
        <w:rPr>
          <w:rFonts w:ascii="宋体" w:eastAsia="宋体" w:hAnsi="Times New Roman"/>
          <w:color w:val="000000"/>
        </w:rPr>
        <w:t>–</w:t>
      </w:r>
      <w:r w:rsidRPr="00B0666B">
        <w:rPr>
          <w:rFonts w:ascii="宋体" w:eastAsia="宋体" w:hAnsi="Times New Roman"/>
          <w:color w:val="000000"/>
        </w:rPr>
        <w:t xml:space="preserve"> Asia Pacific)推荐为在医药健康法律服务领域领先的律师，在2022至2025年度被钱伯斯大中华区(Chambers and Partners </w:t>
      </w:r>
      <w:r w:rsidRPr="00B0666B">
        <w:rPr>
          <w:rFonts w:ascii="宋体" w:eastAsia="宋体" w:hAnsi="Times New Roman"/>
          <w:color w:val="000000"/>
        </w:rPr>
        <w:t>–</w:t>
      </w:r>
      <w:r w:rsidRPr="00B0666B">
        <w:rPr>
          <w:rFonts w:ascii="宋体" w:eastAsia="宋体" w:hAnsi="Times New Roman"/>
          <w:color w:val="000000"/>
        </w:rPr>
        <w:t xml:space="preserve"> Greater China)推荐为在医药健康法律服务领域领先的律师。 </w:t>
      </w:r>
    </w:p>
    <w:p w14:paraId="61BAC864" w14:textId="77777777" w:rsidR="00B0666B" w:rsidRDefault="00B0666B" w:rsidP="00B0666B">
      <w:pPr>
        <w:pStyle w:val="af5"/>
        <w:numPr>
          <w:ilvl w:val="0"/>
          <w:numId w:val="49"/>
        </w:numPr>
        <w:spacing w:before="120"/>
        <w:ind w:left="690" w:hanging="240"/>
        <w:rPr>
          <w:rFonts w:ascii="宋体" w:eastAsia="宋体" w:hAnsi="Times New Roman"/>
          <w:color w:val="000000"/>
        </w:rPr>
      </w:pPr>
      <w:r w:rsidRPr="00B0666B">
        <w:rPr>
          <w:rFonts w:ascii="宋体" w:eastAsia="宋体" w:hAnsi="Times New Roman"/>
          <w:color w:val="000000"/>
        </w:rPr>
        <w:t xml:space="preserve">在2020-2024年度连续被法律五百强(Legal 500)推荐为医药健康和生命科学领域中资所领先个人(Leading individual)。 </w:t>
      </w:r>
    </w:p>
    <w:p w14:paraId="2F30D214" w14:textId="77777777" w:rsidR="00B0666B" w:rsidRDefault="00B0666B" w:rsidP="00B0666B">
      <w:pPr>
        <w:pStyle w:val="af5"/>
        <w:numPr>
          <w:ilvl w:val="0"/>
          <w:numId w:val="50"/>
        </w:numPr>
        <w:spacing w:before="120"/>
        <w:ind w:left="690" w:hanging="240"/>
        <w:rPr>
          <w:rFonts w:ascii="宋体" w:eastAsia="宋体" w:hAnsi="Times New Roman"/>
          <w:color w:val="000000"/>
        </w:rPr>
      </w:pPr>
      <w:r w:rsidRPr="00B0666B">
        <w:rPr>
          <w:rFonts w:ascii="宋体" w:eastAsia="宋体" w:hAnsi="Times New Roman"/>
          <w:color w:val="000000"/>
        </w:rPr>
        <w:t xml:space="preserve">在2022至2024年度被亚洲法律(Asia Law)评为医药健康领域的杰出业者。 </w:t>
      </w:r>
    </w:p>
    <w:p w14:paraId="5973C998" w14:textId="77777777" w:rsidR="00B0666B" w:rsidRDefault="00B0666B" w:rsidP="00B0666B">
      <w:pPr>
        <w:pStyle w:val="af5"/>
        <w:numPr>
          <w:ilvl w:val="0"/>
          <w:numId w:val="51"/>
        </w:numPr>
        <w:spacing w:before="120"/>
        <w:ind w:left="690" w:hanging="240"/>
        <w:rPr>
          <w:rFonts w:ascii="宋体" w:eastAsia="宋体" w:hAnsi="Times New Roman"/>
          <w:color w:val="000000"/>
        </w:rPr>
      </w:pPr>
      <w:r w:rsidRPr="00B0666B">
        <w:rPr>
          <w:rFonts w:ascii="宋体" w:eastAsia="宋体" w:hAnsi="Times New Roman"/>
          <w:color w:val="000000"/>
        </w:rPr>
        <w:t xml:space="preserve">被Merger Market评为2019年制药、医疗和生物科技并购交易法律顾问。 </w:t>
      </w:r>
    </w:p>
    <w:p w14:paraId="3DE6BDA1" w14:textId="77777777" w:rsidR="00B0666B" w:rsidRDefault="00B0666B" w:rsidP="00B0666B">
      <w:pPr>
        <w:pStyle w:val="af5"/>
        <w:numPr>
          <w:ilvl w:val="0"/>
          <w:numId w:val="52"/>
        </w:numPr>
        <w:spacing w:before="120"/>
        <w:ind w:left="690" w:hanging="240"/>
        <w:rPr>
          <w:rFonts w:ascii="宋体" w:eastAsia="宋体" w:hAnsi="Times New Roman"/>
          <w:color w:val="000000"/>
        </w:rPr>
      </w:pPr>
      <w:r w:rsidRPr="00B0666B">
        <w:rPr>
          <w:rFonts w:ascii="宋体" w:eastAsia="宋体" w:hAnsi="Times New Roman"/>
          <w:color w:val="000000"/>
        </w:rPr>
        <w:t xml:space="preserve">2023年被CHC医疗咨询和中信证券联合评为医疗健康行业五强最佳律师。 </w:t>
      </w:r>
    </w:p>
    <w:p w14:paraId="0398171A" w14:textId="77777777" w:rsidR="00B0666B" w:rsidRDefault="00B0666B" w:rsidP="00B0666B">
      <w:pPr>
        <w:pStyle w:val="af5"/>
        <w:spacing w:after="0" w:line="480" w:lineRule="auto"/>
        <w:rPr>
          <w:rFonts w:ascii="宋体" w:eastAsia="宋体" w:hAnsi="宋体"/>
          <w:b/>
          <w:sz w:val="24"/>
        </w:rPr>
      </w:pPr>
      <w:r w:rsidRPr="00B0666B">
        <w:rPr>
          <w:rFonts w:ascii="宋体" w:eastAsia="宋体" w:hAnsi="宋体" w:hint="eastAsia"/>
          <w:b/>
          <w:sz w:val="24"/>
        </w:rPr>
        <w:t>其他履职</w:t>
      </w:r>
    </w:p>
    <w:p w14:paraId="7210B64B" w14:textId="77777777" w:rsidR="00B0666B" w:rsidRDefault="00B0666B" w:rsidP="00B0666B">
      <w:pPr>
        <w:pStyle w:val="af5"/>
        <w:numPr>
          <w:ilvl w:val="0"/>
          <w:numId w:val="53"/>
        </w:numPr>
        <w:spacing w:before="120"/>
        <w:ind w:left="690" w:hanging="240"/>
        <w:rPr>
          <w:rFonts w:ascii="宋体" w:eastAsia="宋体" w:hAnsi="Times New Roman"/>
          <w:color w:val="000000"/>
        </w:rPr>
      </w:pPr>
      <w:r w:rsidRPr="00B0666B">
        <w:rPr>
          <w:rFonts w:ascii="宋体" w:eastAsia="宋体" w:hAnsi="Times New Roman"/>
          <w:color w:val="000000"/>
        </w:rPr>
        <w:t xml:space="preserve">目前担任上海市生物医药协会法律和合规专委会副会长。 </w:t>
      </w:r>
    </w:p>
    <w:p w14:paraId="4F0A196B" w14:textId="37274E30" w:rsidR="00A46A04" w:rsidRPr="00B0666B" w:rsidRDefault="00B0666B" w:rsidP="00B0666B">
      <w:pPr>
        <w:pStyle w:val="af5"/>
        <w:numPr>
          <w:ilvl w:val="0"/>
          <w:numId w:val="54"/>
        </w:numPr>
        <w:spacing w:before="120"/>
        <w:ind w:left="690" w:hanging="240"/>
        <w:rPr>
          <w:rFonts w:ascii="宋体" w:eastAsia="宋体" w:hAnsi="Times New Roman"/>
          <w:color w:val="000000"/>
        </w:rPr>
      </w:pPr>
      <w:r w:rsidRPr="00B0666B">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B066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7EEE"/>
    <w:multiLevelType w:val="singleLevel"/>
    <w:tmpl w:val="567A09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B3119"/>
    <w:multiLevelType w:val="singleLevel"/>
    <w:tmpl w:val="117282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52651"/>
    <w:multiLevelType w:val="singleLevel"/>
    <w:tmpl w:val="C4BE50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391D0E"/>
    <w:multiLevelType w:val="singleLevel"/>
    <w:tmpl w:val="65EEF6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834FCB"/>
    <w:multiLevelType w:val="singleLevel"/>
    <w:tmpl w:val="138C4E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9B233D"/>
    <w:multiLevelType w:val="singleLevel"/>
    <w:tmpl w:val="D114A2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06675F"/>
    <w:multiLevelType w:val="singleLevel"/>
    <w:tmpl w:val="60921D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875960"/>
    <w:multiLevelType w:val="singleLevel"/>
    <w:tmpl w:val="B63252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D71743"/>
    <w:multiLevelType w:val="singleLevel"/>
    <w:tmpl w:val="B18273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5951CE"/>
    <w:multiLevelType w:val="singleLevel"/>
    <w:tmpl w:val="F3640A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74705C"/>
    <w:multiLevelType w:val="singleLevel"/>
    <w:tmpl w:val="704211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7D07CE"/>
    <w:multiLevelType w:val="singleLevel"/>
    <w:tmpl w:val="DF2426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45005E"/>
    <w:multiLevelType w:val="singleLevel"/>
    <w:tmpl w:val="855EF1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096DA8"/>
    <w:multiLevelType w:val="singleLevel"/>
    <w:tmpl w:val="7D1870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A5371D"/>
    <w:multiLevelType w:val="singleLevel"/>
    <w:tmpl w:val="1EC25B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DD32DD"/>
    <w:multiLevelType w:val="singleLevel"/>
    <w:tmpl w:val="423AF5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78573B"/>
    <w:multiLevelType w:val="singleLevel"/>
    <w:tmpl w:val="F53A3C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F72320"/>
    <w:multiLevelType w:val="singleLevel"/>
    <w:tmpl w:val="DCC067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E424C0"/>
    <w:multiLevelType w:val="singleLevel"/>
    <w:tmpl w:val="F2A09E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951E5B"/>
    <w:multiLevelType w:val="singleLevel"/>
    <w:tmpl w:val="1422C2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A617E3"/>
    <w:multiLevelType w:val="singleLevel"/>
    <w:tmpl w:val="2F9269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6037C9"/>
    <w:multiLevelType w:val="singleLevel"/>
    <w:tmpl w:val="9E1401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084DD4"/>
    <w:multiLevelType w:val="singleLevel"/>
    <w:tmpl w:val="8F9A6B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68465C"/>
    <w:multiLevelType w:val="singleLevel"/>
    <w:tmpl w:val="27F662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6121FB"/>
    <w:multiLevelType w:val="singleLevel"/>
    <w:tmpl w:val="3DCE52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6B1486"/>
    <w:multiLevelType w:val="singleLevel"/>
    <w:tmpl w:val="B2ECA10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F92689"/>
    <w:multiLevelType w:val="singleLevel"/>
    <w:tmpl w:val="F3DCD8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04602F"/>
    <w:multiLevelType w:val="singleLevel"/>
    <w:tmpl w:val="ED50BE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F055E0"/>
    <w:multiLevelType w:val="singleLevel"/>
    <w:tmpl w:val="531CAC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4F05C7"/>
    <w:multiLevelType w:val="singleLevel"/>
    <w:tmpl w:val="B7969F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101059"/>
    <w:multiLevelType w:val="singleLevel"/>
    <w:tmpl w:val="E32CD0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961BE2"/>
    <w:multiLevelType w:val="singleLevel"/>
    <w:tmpl w:val="B64AAD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CA6F16"/>
    <w:multiLevelType w:val="singleLevel"/>
    <w:tmpl w:val="42E01A3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A25691"/>
    <w:multiLevelType w:val="singleLevel"/>
    <w:tmpl w:val="DDE677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745E3E"/>
    <w:multiLevelType w:val="singleLevel"/>
    <w:tmpl w:val="9E7476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216305"/>
    <w:multiLevelType w:val="singleLevel"/>
    <w:tmpl w:val="BEBCBB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D138E1"/>
    <w:multiLevelType w:val="singleLevel"/>
    <w:tmpl w:val="634821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8F6755"/>
    <w:multiLevelType w:val="singleLevel"/>
    <w:tmpl w:val="A87648C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E069D7"/>
    <w:multiLevelType w:val="singleLevel"/>
    <w:tmpl w:val="F3DCD83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D820D2"/>
    <w:multiLevelType w:val="singleLevel"/>
    <w:tmpl w:val="4B161C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427647"/>
    <w:multiLevelType w:val="singleLevel"/>
    <w:tmpl w:val="91C4AA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052C2F"/>
    <w:multiLevelType w:val="singleLevel"/>
    <w:tmpl w:val="27F8C3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1247EA"/>
    <w:multiLevelType w:val="singleLevel"/>
    <w:tmpl w:val="EE8E73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0F72C5B"/>
    <w:multiLevelType w:val="singleLevel"/>
    <w:tmpl w:val="9F8C5A5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706312F"/>
    <w:multiLevelType w:val="singleLevel"/>
    <w:tmpl w:val="6DF2444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D66F6C"/>
    <w:multiLevelType w:val="singleLevel"/>
    <w:tmpl w:val="933845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212D41"/>
    <w:multiLevelType w:val="singleLevel"/>
    <w:tmpl w:val="222E9B6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F317869"/>
    <w:multiLevelType w:val="singleLevel"/>
    <w:tmpl w:val="A1B88C0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FBD6F32"/>
    <w:multiLevelType w:val="singleLevel"/>
    <w:tmpl w:val="F420022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B531A8"/>
    <w:multiLevelType w:val="singleLevel"/>
    <w:tmpl w:val="52CCF23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D12534"/>
    <w:multiLevelType w:val="singleLevel"/>
    <w:tmpl w:val="0EE83E6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377AF8"/>
    <w:multiLevelType w:val="singleLevel"/>
    <w:tmpl w:val="02E66B3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467EC8"/>
    <w:multiLevelType w:val="singleLevel"/>
    <w:tmpl w:val="D9B6DEA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F984C6A"/>
    <w:multiLevelType w:val="singleLevel"/>
    <w:tmpl w:val="8014ED0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40"/>
  </w:num>
  <w:num w:numId="3">
    <w:abstractNumId w:val="20"/>
  </w:num>
  <w:num w:numId="4">
    <w:abstractNumId w:val="2"/>
  </w:num>
  <w:num w:numId="5">
    <w:abstractNumId w:val="52"/>
  </w:num>
  <w:num w:numId="6">
    <w:abstractNumId w:val="4"/>
  </w:num>
  <w:num w:numId="7">
    <w:abstractNumId w:val="44"/>
  </w:num>
  <w:num w:numId="8">
    <w:abstractNumId w:val="34"/>
  </w:num>
  <w:num w:numId="9">
    <w:abstractNumId w:val="45"/>
  </w:num>
  <w:num w:numId="10">
    <w:abstractNumId w:val="16"/>
  </w:num>
  <w:num w:numId="11">
    <w:abstractNumId w:val="6"/>
  </w:num>
  <w:num w:numId="12">
    <w:abstractNumId w:val="51"/>
  </w:num>
  <w:num w:numId="13">
    <w:abstractNumId w:val="31"/>
  </w:num>
  <w:num w:numId="14">
    <w:abstractNumId w:val="3"/>
  </w:num>
  <w:num w:numId="15">
    <w:abstractNumId w:val="35"/>
  </w:num>
  <w:num w:numId="16">
    <w:abstractNumId w:val="8"/>
  </w:num>
  <w:num w:numId="17">
    <w:abstractNumId w:val="24"/>
  </w:num>
  <w:num w:numId="18">
    <w:abstractNumId w:val="41"/>
  </w:num>
  <w:num w:numId="19">
    <w:abstractNumId w:val="14"/>
  </w:num>
  <w:num w:numId="20">
    <w:abstractNumId w:val="17"/>
  </w:num>
  <w:num w:numId="21">
    <w:abstractNumId w:val="49"/>
  </w:num>
  <w:num w:numId="22">
    <w:abstractNumId w:val="37"/>
  </w:num>
  <w:num w:numId="23">
    <w:abstractNumId w:val="25"/>
  </w:num>
  <w:num w:numId="24">
    <w:abstractNumId w:val="1"/>
  </w:num>
  <w:num w:numId="25">
    <w:abstractNumId w:val="18"/>
  </w:num>
  <w:num w:numId="26">
    <w:abstractNumId w:val="30"/>
  </w:num>
  <w:num w:numId="27">
    <w:abstractNumId w:val="13"/>
  </w:num>
  <w:num w:numId="28">
    <w:abstractNumId w:val="50"/>
  </w:num>
  <w:num w:numId="29">
    <w:abstractNumId w:val="21"/>
  </w:num>
  <w:num w:numId="30">
    <w:abstractNumId w:val="5"/>
  </w:num>
  <w:num w:numId="31">
    <w:abstractNumId w:val="29"/>
  </w:num>
  <w:num w:numId="32">
    <w:abstractNumId w:val="9"/>
  </w:num>
  <w:num w:numId="33">
    <w:abstractNumId w:val="23"/>
  </w:num>
  <w:num w:numId="34">
    <w:abstractNumId w:val="53"/>
  </w:num>
  <w:num w:numId="35">
    <w:abstractNumId w:val="28"/>
  </w:num>
  <w:num w:numId="36">
    <w:abstractNumId w:val="36"/>
  </w:num>
  <w:num w:numId="37">
    <w:abstractNumId w:val="33"/>
  </w:num>
  <w:num w:numId="38">
    <w:abstractNumId w:val="11"/>
  </w:num>
  <w:num w:numId="39">
    <w:abstractNumId w:val="27"/>
  </w:num>
  <w:num w:numId="40">
    <w:abstractNumId w:val="39"/>
  </w:num>
  <w:num w:numId="41">
    <w:abstractNumId w:val="19"/>
  </w:num>
  <w:num w:numId="42">
    <w:abstractNumId w:val="0"/>
  </w:num>
  <w:num w:numId="43">
    <w:abstractNumId w:val="48"/>
  </w:num>
  <w:num w:numId="44">
    <w:abstractNumId w:val="7"/>
  </w:num>
  <w:num w:numId="45">
    <w:abstractNumId w:val="12"/>
  </w:num>
  <w:num w:numId="46">
    <w:abstractNumId w:val="22"/>
  </w:num>
  <w:num w:numId="47">
    <w:abstractNumId w:val="32"/>
  </w:num>
  <w:num w:numId="48">
    <w:abstractNumId w:val="47"/>
  </w:num>
  <w:num w:numId="49">
    <w:abstractNumId w:val="46"/>
  </w:num>
  <w:num w:numId="50">
    <w:abstractNumId w:val="43"/>
  </w:num>
  <w:num w:numId="51">
    <w:abstractNumId w:val="15"/>
  </w:num>
  <w:num w:numId="52">
    <w:abstractNumId w:val="42"/>
  </w:num>
  <w:num w:numId="53">
    <w:abstractNumId w:val="26"/>
  </w:num>
  <w:num w:numId="54">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0666B"/>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666B"/>
    <w:pPr>
      <w:spacing w:after="120"/>
    </w:pPr>
  </w:style>
  <w:style w:type="character" w:customStyle="1" w:styleId="af6">
    <w:name w:val="正文文本 字符"/>
    <w:basedOn w:val="a0"/>
    <w:link w:val="af5"/>
    <w:uiPriority w:val="99"/>
    <w:rsid w:val="00B066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809D0-F113-4138-83EA-68CBD4741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2026-10-21T01:59:00Z</dcterms:created>
  <dcterms:modified xsi:type="dcterms:W3CDTF">2026-10-21T01:59:00Z</dcterms:modified>
</cp:coreProperties>
</file>